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10789</w:t>
      </w:r>
    </w:p>
    <w:p>
      <w:r>
        <w:t>Visit Number: 28cf381d1d7c2ac47e6df6d06f613ded093ee7c227286a7bd5f0f2f60c0496c1</w:t>
      </w:r>
    </w:p>
    <w:p>
      <w:r>
        <w:t>Masked_PatientID: 10784</w:t>
      </w:r>
    </w:p>
    <w:p>
      <w:r>
        <w:t>Order ID: ef14c03d74c594f9d1e94fe2538ae154f780bc9be3d9d6e523ba4e9294169c9f</w:t>
      </w:r>
    </w:p>
    <w:p>
      <w:r>
        <w:t>Order Name: Chest X-ray</w:t>
      </w:r>
    </w:p>
    <w:p>
      <w:r>
        <w:t>Result Item Code: CHE-NOV</w:t>
      </w:r>
    </w:p>
    <w:p>
      <w:r>
        <w:t>Performed Date Time: 27/12/2018 23:30</w:t>
      </w:r>
    </w:p>
    <w:p>
      <w:r>
        <w:t>Line Num: 1</w:t>
      </w:r>
    </w:p>
    <w:p>
      <w:r>
        <w:t>Text:       HISTORY post intubationj REPORT Supine film The prior radiographs done earlier in the day at 2204h and 2036h were reviewed. There has been interval insertion of an endotracheal tube. The distal end of the  tube is projected 5.7cm above the carina. The distal tip of the nasogastric feeding  tube is projected over the gastric fundus and further advancement can be considered. The heart size is normal, the thoracic aorta is unfolded and there is mural calcification  seenat the arch. Airspace opacification in both lungs with confluent consolidation in the left lower  zone.  There is left pleural effusion, difficult to quantify on the supine study.   Further action or early intervention required Reported by: &lt;DOCTOR&gt;</w:t>
      </w:r>
    </w:p>
    <w:p>
      <w:r>
        <w:t>Accession Number: 7a3bc2dfb0560ae9672ab5802e4cd03a86db98a4839e40b458c11640939a433a</w:t>
      </w:r>
    </w:p>
    <w:p>
      <w:r>
        <w:t>Updated Date Time: 28/12/2018 16:08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