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10897</w:t>
      </w:r>
    </w:p>
    <w:p>
      <w:r>
        <w:t>Visit Number: cf8d758398ef36beb9126cc1c96696700305ed3bf9f2bf48c580f47f9d0f2d52</w:t>
      </w:r>
    </w:p>
    <w:p>
      <w:r>
        <w:t>Masked_PatientID: 10896</w:t>
      </w:r>
    </w:p>
    <w:p>
      <w:r>
        <w:t>Order ID: 30a6675436d14802eb01a61e8f3c5ce3b6250ada74c634030c74631e00d2b07b</w:t>
      </w:r>
    </w:p>
    <w:p>
      <w:r>
        <w:t>Order Name: Chest X-ray, Erect</w:t>
      </w:r>
    </w:p>
    <w:p>
      <w:r>
        <w:t>Result Item Code: CHE-ER</w:t>
      </w:r>
    </w:p>
    <w:p>
      <w:r>
        <w:t>Performed Date Time: 22/6/2019 13:33</w:t>
      </w:r>
    </w:p>
    <w:p>
      <w:r>
        <w:t>Line Num: 1</w:t>
      </w:r>
    </w:p>
    <w:p>
      <w:r>
        <w:t>Text: HISTORY  hypotension REPORT The previous chest radiograph done at NTFGH on 9 May 2019 was reviewed. Tip of the left sided central venous catheter is projected over the SVC. The heart size cannot be accurately assessed in the AP projection. Patchy airspace opacities are seen in the right mid-to-lower zones and left upper-to-lower  zones which may represent infective changes. Small bilateral pleural effusions are  present. Old right sided rib fractures are noted. Report Indicator: May need further action Finalised by: &lt;DOCTOR&gt;</w:t>
      </w:r>
    </w:p>
    <w:p>
      <w:r>
        <w:t>Accession Number: 01cb20485a8019a38e3f204eb19dc1bfaefab6cb142083fbc5ee42d5444683d6</w:t>
      </w:r>
    </w:p>
    <w:p>
      <w:r>
        <w:t>Updated Date Time: 23/6/2019 9:29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