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10966</w:t>
      </w:r>
    </w:p>
    <w:p>
      <w:r>
        <w:t>Visit Number: 76cbfd3abf5e504feef67d556444f231b6a7f3c0ff11968be2b1e9583389a923</w:t>
      </w:r>
    </w:p>
    <w:p>
      <w:r>
        <w:t>Masked_PatientID: 10960</w:t>
      </w:r>
    </w:p>
    <w:p>
      <w:r>
        <w:t>Order ID: fc68392d3adff191ca8a27de3bc014a20752e2b058e8c9b714ca4b4cc6e5e029</w:t>
      </w:r>
    </w:p>
    <w:p>
      <w:r>
        <w:t>Order Name: Chest X-ray</w:t>
      </w:r>
    </w:p>
    <w:p>
      <w:r>
        <w:t>Result Item Code: CHE-NOV</w:t>
      </w:r>
    </w:p>
    <w:p>
      <w:r>
        <w:t>Performed Date Time: 30/9/2017 11:43</w:t>
      </w:r>
    </w:p>
    <w:p>
      <w:r>
        <w:t>Line Num: 1</w:t>
      </w:r>
    </w:p>
    <w:p>
      <w:r>
        <w:t>Text:       HISTORY APO for interval assessment REPORT Chest AP sitting. Prior radiograph dated  29/09/2017  was reviewed. Bilateral extensive air space opacities appear slightly increased may suggest worsening  of the pulmonary oedema.  Bibasilar atelectasis and effusions are also seen.  Interval  removal of the endotracheal tube noted.  The tip of the nasogastric tube is below  the level of diaphragm while that of right central venous catheter is in the SVC.   May need further action Finalised by: &lt;DOCTOR&gt;</w:t>
      </w:r>
    </w:p>
    <w:p>
      <w:r>
        <w:t>Accession Number: 3c4f29490434db10ba8a7aefcfbcc6c62eaceceb122463b0232ab24f6510a56e</w:t>
      </w:r>
    </w:p>
    <w:p>
      <w:r>
        <w:t>Updated Date Time: 01/10/2017 19:17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