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11032</w:t>
      </w:r>
    </w:p>
    <w:p>
      <w:r>
        <w:t>Visit Number: 304942ccfd03216056e0ca765fc6b5a58fb8e24ee4ab2bda87b875db5a04d93f</w:t>
      </w:r>
    </w:p>
    <w:p>
      <w:r>
        <w:t>Masked_PatientID: 11012</w:t>
      </w:r>
    </w:p>
    <w:p>
      <w:r>
        <w:t>Order ID: f0542e2e91884cdde7d6e581ed10596f81fa7f4fbbcbc02cce0f4cae96af921f</w:t>
      </w:r>
    </w:p>
    <w:p>
      <w:r>
        <w:t>Order Name: Chest X-ray</w:t>
      </w:r>
    </w:p>
    <w:p>
      <w:r>
        <w:t>Result Item Code: CHE-NOV</w:t>
      </w:r>
    </w:p>
    <w:p>
      <w:r>
        <w:t>Performed Date Time: 03/9/2015 7:03</w:t>
      </w:r>
    </w:p>
    <w:p>
      <w:r>
        <w:t>Line Num: 1</w:t>
      </w:r>
    </w:p>
    <w:p>
      <w:r>
        <w:t>Text:       HISTORY burns REPORT  The previous study dated 02/09/2015 was reviewed. Prominent interstitial and airspace opacities are again noted in a bronchovascular  distribution bilaterally, likely related to pumonary oedema.  No definite improvement  is noted on the left while the right shows marginal improvement and appear less confluent. Scattered skin staples are noted. Positions of the right internal jugular catheters, tracheostomy tube and feeding  tube are grossly unchanged. Normal heart size.   Known / Minor  Finalised by: &lt;DOCTOR&gt;</w:t>
      </w:r>
    </w:p>
    <w:p>
      <w:r>
        <w:t>Accession Number: e00a8294fb37fd903c82665b3c1d513c796e31197fbf461186c89a6c049c52bf</w:t>
      </w:r>
    </w:p>
    <w:p>
      <w:r>
        <w:t>Updated Date Time: 03/9/2015 11:11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