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11040</w:t>
      </w:r>
    </w:p>
    <w:p>
      <w:r>
        <w:t>Visit Number: 304942ccfd03216056e0ca765fc6b5a58fb8e24ee4ab2bda87b875db5a04d93f</w:t>
      </w:r>
    </w:p>
    <w:p>
      <w:r>
        <w:t>Masked_PatientID: 11012</w:t>
      </w:r>
    </w:p>
    <w:p>
      <w:r>
        <w:t>Order ID: f58327bd676e7f63b744feb5e7184097e5807c158844ce573802253e915aea1f</w:t>
      </w:r>
    </w:p>
    <w:p>
      <w:r>
        <w:t>Order Name: Chest X-ray</w:t>
      </w:r>
    </w:p>
    <w:p>
      <w:r>
        <w:t>Result Item Code: CHE-NOV</w:t>
      </w:r>
    </w:p>
    <w:p>
      <w:r>
        <w:t>Performed Date Time: 14/9/2015 22:30</w:t>
      </w:r>
    </w:p>
    <w:p>
      <w:r>
        <w:t>Line Num: 1</w:t>
      </w:r>
    </w:p>
    <w:p>
      <w:r>
        <w:t>Text:       HISTORY 71% tbsa burns iwth inhalational injury REPORT  Compared with a study dated 12 September 2015. The right central venous line and tracheostomy tube and feeding tubes are in situ  remain unchanged in position. Heart size cannot be accurately assessed in this projection but appears within normal  limits. The previously seen patchy nonhomogeneous opacities in bilateral perihilar  mid and lower zones remain largely stable.  No lobar consolidation, sizable pleural  effusion or pneumothorax   Known / Minor  Finalised by: &lt;DOCTOR&gt;</w:t>
      </w:r>
    </w:p>
    <w:p>
      <w:r>
        <w:t>Accession Number: 0401ce0dc8d7589549f83185ed3719567c7fda9fa32677cae87bbee0cede4687</w:t>
      </w:r>
    </w:p>
    <w:p>
      <w:r>
        <w:t>Updated Date Time: 16/9/2015 22:22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