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11015</w:t>
      </w:r>
    </w:p>
    <w:p>
      <w:r>
        <w:t>Visit Number: 304942ccfd03216056e0ca765fc6b5a58fb8e24ee4ab2bda87b875db5a04d93f</w:t>
      </w:r>
    </w:p>
    <w:p>
      <w:r>
        <w:t>Masked_PatientID: 11012</w:t>
      </w:r>
    </w:p>
    <w:p>
      <w:r>
        <w:t>Order ID: a1775b69729bbaadf8cea264d387adfb7325782dcecf977a19bc7885f1c931d9</w:t>
      </w:r>
    </w:p>
    <w:p>
      <w:r>
        <w:t>Order Name: Chest X-ray</w:t>
      </w:r>
    </w:p>
    <w:p>
      <w:r>
        <w:t>Result Item Code: CHE-NOV</w:t>
      </w:r>
    </w:p>
    <w:p>
      <w:r>
        <w:t>Performed Date Time: 23/8/2015 6:53</w:t>
      </w:r>
    </w:p>
    <w:p>
      <w:r>
        <w:t>Line Num: 1</w:t>
      </w:r>
    </w:p>
    <w:p>
      <w:r>
        <w:t>Text:       HISTORY Blast injury with inhalatinal injury REPORT CHEST (SUPINE MOBILE) TOTAL OF ONE IMAGE The tip of the endotracheal tube is about 4.0 cm above the carina and this may require  adjustment to more superior level.   Unfortunately. the tip of the nasogastric tube is not included in this image. There is air space opacification mainly in the upper and middle zones on both sides  and may be either pneumonia or vascular congestion.  The radiopaque staples overlying the neck and left side of the chest and abdomen  are related to burns treatment.   May need further action Finalised by: &lt;DOCTOR&gt;</w:t>
      </w:r>
    </w:p>
    <w:p>
      <w:r>
        <w:t>Accession Number: 1aeecea2244708f41172aa55288dffa11318dea732162424b4edcb1b1b21ed4b</w:t>
      </w:r>
    </w:p>
    <w:p>
      <w:r>
        <w:t>Updated Date Time: 24/8/2015 16:00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