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11137</w:t>
      </w:r>
    </w:p>
    <w:p>
      <w:r>
        <w:t>Visit Number: baeb2df4916425cd9e4d91ed77d6e4f2554abdf2ff69cebaa7b350868cfa1fd7</w:t>
      </w:r>
    </w:p>
    <w:p>
      <w:r>
        <w:t>Masked_PatientID: 11114</w:t>
      </w:r>
    </w:p>
    <w:p>
      <w:r>
        <w:t>Order ID: 3467ba8eb2354c248f2758e245021cf94a8cb39d2925979549e9f2313af6858b</w:t>
      </w:r>
    </w:p>
    <w:p>
      <w:r>
        <w:t>Order Name: Chest X-ray</w:t>
      </w:r>
    </w:p>
    <w:p>
      <w:r>
        <w:t>Result Item Code: CHE-NOV</w:t>
      </w:r>
    </w:p>
    <w:p>
      <w:r>
        <w:t>Performed Date Time: 22/9/2020 22:08</w:t>
      </w:r>
    </w:p>
    <w:p>
      <w:r>
        <w:t>Line Num: 1</w:t>
      </w:r>
    </w:p>
    <w:p>
      <w:r>
        <w:t>Text: HISTORY  cough with phlegm REPORT Chest X-ray, AP sitting Comparison made with prior chest radiograph dated 5 July 2020. CT of 9 July 2020  and drainage catheter change of 4 September 2020 were reviewed. There is suboptimal inspiration. Heart size cannot be accurately assessed on this projection.  Small right pleural effusion is again seen with airspace opacity in the right mid  to lower zone. New patchy airspace opacities in the left mid zone may represent infective  change. Surgical clips are projected over the right hypochondrium. Compared to recent drainage  catheter change of 4 September 2020, there is interval migration of the drainage  catheter with unraveling of the distal loop; clinical correlation for dislodged drainage  catheter is suggested. Report Indicator: Further action or early intervention required Finalised by: &lt;DOCTOR&gt;</w:t>
      </w:r>
    </w:p>
    <w:p>
      <w:r>
        <w:t>Accession Number: 25261153039f911495e71c69da75431fc91d175b32aebe49e43e093d4bbd5dc7</w:t>
      </w:r>
    </w:p>
    <w:p>
      <w:r>
        <w:t>Updated Date Time: 22/9/2020 23:42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