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11171</w:t>
      </w:r>
    </w:p>
    <w:p>
      <w:r>
        <w:t>Visit Number: 05d752cccd2db60f12c125e315ef4c0294f7d8dc92cd3b8d04c9fa300c86e222</w:t>
      </w:r>
    </w:p>
    <w:p>
      <w:r>
        <w:t>Masked_PatientID: 11167</w:t>
      </w:r>
    </w:p>
    <w:p>
      <w:r>
        <w:t>Order ID: 95fc43687248260cd77ccc79ebaa49adfaacb9655ae783c28fb47c0aba2219ce</w:t>
      </w:r>
    </w:p>
    <w:p>
      <w:r>
        <w:t>Order Name: Chest X-ray</w:t>
      </w:r>
    </w:p>
    <w:p>
      <w:r>
        <w:t>Result Item Code: CHE-NOV</w:t>
      </w:r>
    </w:p>
    <w:p>
      <w:r>
        <w:t>Performed Date Time: 12/5/2019 20:25</w:t>
      </w:r>
    </w:p>
    <w:p>
      <w:r>
        <w:t>Line Num: 1</w:t>
      </w:r>
    </w:p>
    <w:p>
      <w:r>
        <w:t>Text: HISTORY  chest pain REPORT Previous chest radiograph dated 20 March 2019 was reviewed. The heart size is normal. There is mild unfolding of the aorta with mural calcifications.  Stable biapical fibrocalcific changes and left apical cavity \ bullae. Prominence  of right perihilar airspace may represent underlying bronchiectasis. No confluent  consolidation detected. Left costophrenic angle remains slightly blunted. No pneumothorax  is seen. Deformity at right thoracic rib may represent chronic fracture. Report Indicator: May need further action Reported by: &lt;DOCTOR&gt;</w:t>
      </w:r>
    </w:p>
    <w:p>
      <w:r>
        <w:t>Accession Number: 78ef292fac675da85d8aef309af47a1e6c0c4b092197d585f62fbae7eaa29348</w:t>
      </w:r>
    </w:p>
    <w:p>
      <w:r>
        <w:t>Updated Date Time: 13/5/2019 17:08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