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11289</w:t>
      </w:r>
    </w:p>
    <w:p>
      <w:r>
        <w:t>Visit Number: 7f2f2c8e6df85d39a747914c196b0e3fb4341d25632036d0b9a984722edfd72c</w:t>
      </w:r>
    </w:p>
    <w:p>
      <w:r>
        <w:t>Masked_PatientID: 11282</w:t>
      </w:r>
    </w:p>
    <w:p>
      <w:r>
        <w:t>Order ID: 7515489191c903621120239ed50cafb3541222e4b5d6240849b6c15c5e6cd05f</w:t>
      </w:r>
    </w:p>
    <w:p>
      <w:r>
        <w:t>Order Name: CT Chest, High Resolution</w:t>
      </w:r>
    </w:p>
    <w:p>
      <w:r>
        <w:t>Result Item Code: CTCHEHR</w:t>
      </w:r>
    </w:p>
    <w:p>
      <w:r>
        <w:t>Performed Date Time: 04/10/2018 16:16</w:t>
      </w:r>
    </w:p>
    <w:p>
      <w:r>
        <w:t>Line Num: 1</w:t>
      </w:r>
    </w:p>
    <w:p>
      <w:r>
        <w:t>Text:       HISTORY Patient with persistent SOB and low sats, b/g ca breast. Repeat CXR today shows worsening  bilateral consolidation and pulmonary congestion, TRO lymphangitis carcinomatosis. TECHNIQUE Scans acquired as per department protocol. Intravenous contrast: Nil  FINDINGS  Comparison is made with the prior examination 19 September 2018. There is increasing ground-glass change in both lungs particularly at the upper lobes.   This is associated with some loss of volume andareas of patchy consolidation.   Ground-glass changes are also seen in the lower lobes. There is minimal interlobular  septal thickening at the apices of both upper lobes.   The bilateral pleural effusions show an increase particularly on the left. No overt enlargement of the mediastinal lymph nodes is demonstrated. Enlarged right  axillary lymph nodes are present. Multiple hypodense nodules at the liver are compatible with those due to metastatic  deposits. Multiple sclerotic bony metastatic deposits are identified.  CONCLUSION  Bilateral pulmonary changes have worsened since the prior examination with extensive  ground-glass change in both lungs.  The distribution of the lung changes do not conform  with that of a lymphangitis carcinomatosis.  The current lung changes are in keeping  that of a pneumonitis.  A drug-related aetiology is again favoured.  An infective  aetiology should be clinically excluded.   May need further action Finalised by: &lt;DOCTOR&gt;</w:t>
      </w:r>
    </w:p>
    <w:p>
      <w:r>
        <w:t>Accession Number: 96f22f1b8891a082eddf354be4da0fb52b0d6452617098a1639d18601ccd12ad</w:t>
      </w:r>
    </w:p>
    <w:p>
      <w:r>
        <w:t>Updated Date Time: 04/10/2018 16:49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