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11340</w:t>
      </w:r>
    </w:p>
    <w:p>
      <w:r>
        <w:t>Visit Number: 57256c83e96077ee557397ec7d230b7a3a96bf020f7d825f7573cb8e9c82ac38</w:t>
      </w:r>
    </w:p>
    <w:p>
      <w:r>
        <w:t>Masked_PatientID: 11338</w:t>
      </w:r>
    </w:p>
    <w:p>
      <w:r>
        <w:t>Order ID: d88a1ad17769134e28bdfc62d968fabd2d0bd8f8916c4ce201ccce1b7d200fde</w:t>
      </w:r>
    </w:p>
    <w:p>
      <w:r>
        <w:t>Order Name: Chest X-ray</w:t>
      </w:r>
    </w:p>
    <w:p>
      <w:r>
        <w:t>Result Item Code: CHE-NOV</w:t>
      </w:r>
    </w:p>
    <w:p>
      <w:r>
        <w:t>Performed Date Time: 24/1/2018 12:09</w:t>
      </w:r>
    </w:p>
    <w:p>
      <w:r>
        <w:t>Line Num: 1</w:t>
      </w:r>
    </w:p>
    <w:p>
      <w:r>
        <w:t>Text:       HISTORY SOB REPORT There is no previous chest radiograph for comparison. The heart size cannot be assessed due to effacement of the heart borders by moderate  bilateral pleural effusions. Bilateral perihilar air space opacities likely reflect alveolar oedema.  Note is  made of asymmetric increased opacity in the right upper zone.  Therefore, superimposed  infection cannot be excluded and clinical correlation is required.   May need further action Reported by: &lt;DOCTOR&gt;</w:t>
      </w:r>
    </w:p>
    <w:p>
      <w:r>
        <w:t>Accession Number: a26456a0efb2aa415246a4c1c7159985f3426c67dff6c98181596a6278c5d67b</w:t>
      </w:r>
    </w:p>
    <w:p>
      <w:r>
        <w:t>Updated Date Time: 24/1/2018 17:56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