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11398</w:t>
      </w:r>
    </w:p>
    <w:p>
      <w:r>
        <w:t>Visit Number: a62d5e1beb9608a6a7435ef5fa538211131251670a05ad53b6969a471c2119e6</w:t>
      </w:r>
    </w:p>
    <w:p>
      <w:r>
        <w:t>Masked_PatientID: 11393</w:t>
      </w:r>
    </w:p>
    <w:p>
      <w:r>
        <w:t>Order ID: aa96873f7bc0f683e1cccaf179ea21e8081c0141118d2beb058e9c8fb00940db</w:t>
      </w:r>
    </w:p>
    <w:p>
      <w:r>
        <w:t>Order Name: Chest X-ray, Erect</w:t>
      </w:r>
    </w:p>
    <w:p>
      <w:r>
        <w:t>Result Item Code: CHE-ER</w:t>
      </w:r>
    </w:p>
    <w:p>
      <w:r>
        <w:t>Performed Date Time: 19/11/2016 21:29</w:t>
      </w:r>
    </w:p>
    <w:p>
      <w:r>
        <w:t>Line Num: 1</w:t>
      </w:r>
    </w:p>
    <w:p>
      <w:r>
        <w:t>Text:       HISTORY Chest pain REPORT CHEST, AP SITTING Prior radiograph (20 Oct 2016) reviewed. The lungs appear congested, with prominence of the vascular markings. Faint diffuse  opacity over the right mid-to-lower zone is nonspecific, contributed by overlying  soft tissue shadow. No interval pneumothorax or pleural effusion seen. Status post mitral and aortic valve replacement. Cardiomegaly and the unfolded, calcified  thoracic aorta show no gross interval change.   May need further action Finalised by: &lt;DOCTOR&gt;</w:t>
      </w:r>
    </w:p>
    <w:p>
      <w:r>
        <w:t>Accession Number: cf608e0ec49fdc7ff445ba30bf168213dc0fe5eff058dcb527597f0d42290041</w:t>
      </w:r>
    </w:p>
    <w:p>
      <w:r>
        <w:t>Updated Date Time: 22/11/2016 2:46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