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11437</w:t>
      </w:r>
    </w:p>
    <w:p>
      <w:r>
        <w:t>Visit Number: ca7ac36cb9df8aeab2edbb9160e3fca888d3e4c1ecc305125e33539c36025fab</w:t>
      </w:r>
    </w:p>
    <w:p>
      <w:r>
        <w:t>Masked_PatientID: 11428</w:t>
      </w:r>
    </w:p>
    <w:p>
      <w:r>
        <w:t>Order ID: 54eada8b2c8f32f6f0cae2afef7bfb5924cc13fbc9598b5ba2641aabbc40879f</w:t>
      </w:r>
    </w:p>
    <w:p>
      <w:r>
        <w:t>Order Name: Chest X-ray</w:t>
      </w:r>
    </w:p>
    <w:p>
      <w:r>
        <w:t>Result Item Code: CHE-NOV</w:t>
      </w:r>
    </w:p>
    <w:p>
      <w:r>
        <w:t>Performed Date Time: 18/6/2017 19:01</w:t>
      </w:r>
    </w:p>
    <w:p>
      <w:r>
        <w:t>Line Num: 1</w:t>
      </w:r>
    </w:p>
    <w:p>
      <w:r>
        <w:t>Text:       HISTORY partially treated chest infection REPORT Comparison was made with previous study dated 16 Jun 2016. CT brain thorax and abdomen  of 7 Jun 2017 was reviewed. Heart size cannot be accurately assessed on this projection. The aorta is unfolded. Scarring and consolidation in the left upper lobe appears stable. Scarring in the  left lower lobe tenting the left hemidiaphragm is also stable. Apparent spiculated opacity in the periphery of the right lower zone may be related  to scarring and combination shadows.   May need further action Reported by: &lt;DOCTOR&gt;</w:t>
      </w:r>
    </w:p>
    <w:p>
      <w:r>
        <w:t>Accession Number: 7df38dab6e04d523c17c5d2d19041f415f5ea30bf70d58e43aaba685b6fd20b0</w:t>
      </w:r>
    </w:p>
    <w:p>
      <w:r>
        <w:t>Updated Date Time: 19/6/2017 18:04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