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11466</w:t>
      </w:r>
    </w:p>
    <w:p>
      <w:r>
        <w:t>Visit Number: 67237392de4cdbc002180d1651944fc0146ba931507b02986276b4e87228293c</w:t>
      </w:r>
    </w:p>
    <w:p>
      <w:r>
        <w:t>Masked_PatientID: 11456</w:t>
      </w:r>
    </w:p>
    <w:p>
      <w:r>
        <w:t>Order ID: d56295c7ab8fef1d61b3f5b13fa05d9f3d6b40045f30e86b61285f9df182db15</w:t>
      </w:r>
    </w:p>
    <w:p>
      <w:r>
        <w:t>Order Name: Chest X-ray</w:t>
      </w:r>
    </w:p>
    <w:p>
      <w:r>
        <w:t>Result Item Code: CHE-NOV</w:t>
      </w:r>
    </w:p>
    <w:p>
      <w:r>
        <w:t>Performed Date Time: 23/6/2016 13:33</w:t>
      </w:r>
    </w:p>
    <w:p>
      <w:r>
        <w:t>Line Num: 1</w:t>
      </w:r>
    </w:p>
    <w:p>
      <w:r>
        <w:t>Text:       HISTORY desaturaing acutely REPORT  Comparison dated 22/06/2016. The trachea is midline.  Cardiac silhouette is within normal limits for size.  Atherosclerotic  calcifications are noted at the aortic arch.  The thoracic aorta ismildly unfolded. Patchy opacities noted at the right lung base as well as in the left retrocardiac  region, with early infection unable to be excluded.  The remaining lung fields are  clear.  No sizable pleural effusion or pneumothorax is detected. Soft tissues and osseous structures remain unchanged.  Superpositioning artefact  limits complete evaluation of the lung apices.   May need further action Finalised by: &lt;DOCTOR&gt;</w:t>
      </w:r>
    </w:p>
    <w:p>
      <w:r>
        <w:t>Accession Number: a3d05f001bd041d22b5de09fb32e5832ea1797d780f8dee8877d1573dbf9b1f1</w:t>
      </w:r>
    </w:p>
    <w:p>
      <w:r>
        <w:t>Updated Date Time: 24/6/2016 9:53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