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11479</w:t>
      </w:r>
    </w:p>
    <w:p>
      <w:r>
        <w:t>Visit Number: 6530a8852a9c2d67b2035b17d006ef16c362bc382986f9e3a3476b005cc50731</w:t>
      </w:r>
    </w:p>
    <w:p>
      <w:r>
        <w:t>Masked_PatientID: 11474</w:t>
      </w:r>
    </w:p>
    <w:p>
      <w:r>
        <w:t>Order ID: c9427694c7d0b1f7ea6d17580d947cf0d6b80cdfd1485f66cf373d48b92411a1</w:t>
      </w:r>
    </w:p>
    <w:p>
      <w:r>
        <w:t>Order Name: Chest X-ray</w:t>
      </w:r>
    </w:p>
    <w:p>
      <w:r>
        <w:t>Result Item Code: CHE-NOV</w:t>
      </w:r>
    </w:p>
    <w:p>
      <w:r>
        <w:t>Performed Date Time: 13/7/2015 7:37</w:t>
      </w:r>
    </w:p>
    <w:p>
      <w:r>
        <w:t>Line Num: 1</w:t>
      </w:r>
    </w:p>
    <w:p>
      <w:r>
        <w:t>Text:       HISTORY Fluid overload REPORT Comparison is done with the previous study dated 10/7/2015 Perihilar airspace changes extending to the lower zones are again seen, grossly unchanged.   Bilateral mild-moderate pleural effusions are also largely stable.  Airspace changes  in the right upper zone have improved. Instrumentation of the thoracolumbar spine noted.   May need further action Finalised by: &lt;DOCTOR&gt;</w:t>
      </w:r>
    </w:p>
    <w:p>
      <w:r>
        <w:t>Accession Number: 88a7dc918fccb690d69ecf52b95099033afba7713eaee0e9df55e5b6f9720db3</w:t>
      </w:r>
    </w:p>
    <w:p>
      <w:r>
        <w:t>Updated Date Time: 13/7/2015 13:34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