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11535</w:t>
      </w:r>
    </w:p>
    <w:p>
      <w:r>
        <w:t>Visit Number: 549875e4e97b3844ebcc8f63c2170438a5369b1a7387e9af6d4853a0050af1f1</w:t>
      </w:r>
    </w:p>
    <w:p>
      <w:r>
        <w:t>Masked_PatientID: 11521</w:t>
      </w:r>
    </w:p>
    <w:p>
      <w:r>
        <w:t>Order ID: 50c197eb8cad54577c35062d9eca930b2f598cc24ddc8c0134ad69fd23e312d4</w:t>
      </w:r>
    </w:p>
    <w:p>
      <w:r>
        <w:t>Order Name: Chest X-ray</w:t>
      </w:r>
    </w:p>
    <w:p>
      <w:r>
        <w:t>Result Item Code: CHE-NOV</w:t>
      </w:r>
    </w:p>
    <w:p>
      <w:r>
        <w:t>Performed Date Time: 15/12/2015 6:31</w:t>
      </w:r>
    </w:p>
    <w:p>
      <w:r>
        <w:t>Line Num: 1</w:t>
      </w:r>
    </w:p>
    <w:p>
      <w:r>
        <w:t>Text:       HISTORY . ?Sepsis. ?Fluid Overload. REPORT CHEST (AP SITTING MOBILE) TOTAL OF ONE IMAGE There are cardiac monitoring leads in place.   The sternotomy wires and staples at the left heart border are compatible with a previousCABG  The tip of the left central venous catheter is projected over the right atrial area. The heart shadow and mediastinum are difficult to assess for size and configuration  in view of the projection and patient rotation. The lungs showacute pulmonary oedema with bilateral pleural effusions.   May need further action Finalised by: &lt;DOCTOR&gt;</w:t>
      </w:r>
    </w:p>
    <w:p>
      <w:r>
        <w:t>Accession Number: b2ea8c035d7e3c2cf0aa36650f0e816a1cd6d133d909991842df0578a748108a</w:t>
      </w:r>
    </w:p>
    <w:p>
      <w:r>
        <w:t>Updated Date Time: 16/12/2015 19:41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