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11563</w:t>
      </w:r>
    </w:p>
    <w:p>
      <w:r>
        <w:t>Visit Number: 0177df3318c8c320e2f96ad555fa0e5ef44354a36e7ef8a35c878cdf3e84e0ab</w:t>
      </w:r>
    </w:p>
    <w:p>
      <w:r>
        <w:t>Masked_PatientID: 11547</w:t>
      </w:r>
    </w:p>
    <w:p>
      <w:r>
        <w:t>Order ID: 391878a0882b4258186bbe671771770e86741ed51dba8ba7d5b3a07395b8dc67</w:t>
      </w:r>
    </w:p>
    <w:p>
      <w:r>
        <w:t>Order Name: Chest X-ray</w:t>
      </w:r>
    </w:p>
    <w:p>
      <w:r>
        <w:t>Result Item Code: CHE-NOV</w:t>
      </w:r>
    </w:p>
    <w:p>
      <w:r>
        <w:t>Performed Date Time: 03/10/2018 14:06</w:t>
      </w:r>
    </w:p>
    <w:p>
      <w:r>
        <w:t>Line Num: 1</w:t>
      </w:r>
    </w:p>
    <w:p>
      <w:r>
        <w:t>Text:       HISTORY Intubated, persistent hypoxemia despite ECMO REPORT Comparison made with recent radiographs. There has been no significant interval change in the extensive air space opacifications  bilaterally since the most recent radiograph.  The right internal jugular venous  catheter and ET tube positions are unchanged.  Nasogastric tube is also noted although  the tip is not included in the visualised field. ECMO catheter is partially visualized.    May need further action Finalised by: &lt;DOCTOR&gt;</w:t>
      </w:r>
    </w:p>
    <w:p>
      <w:r>
        <w:t>Accession Number: 1a1a8f4077418f23876f54313b125e420067fdc915b72d75db68338d8db09029</w:t>
      </w:r>
    </w:p>
    <w:p>
      <w:r>
        <w:t>Updated Date Time: 05/10/2018 10:39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