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11566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f8dab87e1fb816488424baea144ccecb15f9e0db1e92b0e62692e7d46da96936</w:t>
      </w:r>
    </w:p>
    <w:p>
      <w:r>
        <w:t>Order Name: Chest X-ray</w:t>
      </w:r>
    </w:p>
    <w:p>
      <w:r>
        <w:t>Result Item Code: CHE-NOV</w:t>
      </w:r>
    </w:p>
    <w:p>
      <w:r>
        <w:t>Performed Date Time: 06/10/2018 6:31</w:t>
      </w:r>
    </w:p>
    <w:p>
      <w:r>
        <w:t>Line Num: 1</w:t>
      </w:r>
    </w:p>
    <w:p>
      <w:r>
        <w:t>Text:       HISTORY PCP pneumonia REPORT X-ray dated 05/10/2018 was reviewed. Extensive airspace shadows are seen in both lungs associated with air bronchograms.   There is no significant change from previous x-ray.   May need furtheraction Finalised by: &lt;DOCTOR&gt;</w:t>
      </w:r>
    </w:p>
    <w:p>
      <w:r>
        <w:t>Accession Number: 8380fc477055caacee2c90cf9f93f86c98e518aa6e4baa36d795fe16a22086a7</w:t>
      </w:r>
    </w:p>
    <w:p>
      <w:r>
        <w:t>Updated Date Time: 08/10/2018 18:25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