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11573</w:t>
      </w:r>
    </w:p>
    <w:p>
      <w:r>
        <w:t>Visit Number: 342bfe9613abc2e68741b6c6d41cc68b601646c0c1cdc3dd2122f4da60d562ac</w:t>
      </w:r>
    </w:p>
    <w:p>
      <w:r>
        <w:t>Masked_PatientID: 11547</w:t>
      </w:r>
    </w:p>
    <w:p>
      <w:r>
        <w:t>Order ID: eb3293eae9f7788e1f6457ec166516ccae4b165bf9a07e6544646bccd52a0142</w:t>
      </w:r>
    </w:p>
    <w:p>
      <w:r>
        <w:t>Order Name: Chest X-ray</w:t>
      </w:r>
    </w:p>
    <w:p>
      <w:r>
        <w:t>Result Item Code: CHE-NOV</w:t>
      </w:r>
    </w:p>
    <w:p>
      <w:r>
        <w:t>Performed Date Time: 25/9/2018 17:54</w:t>
      </w:r>
    </w:p>
    <w:p>
      <w:r>
        <w:t>Line Num: 1</w:t>
      </w:r>
    </w:p>
    <w:p>
      <w:r>
        <w:t>Text:       HISTORY SOB REPORT Previous chest radiograph dated 19/07/2018 was reviewed. Heart size cannot be accurately assessed in this AP sitting projection.  The aorta  shows intimal calcification. Air space opacities noted in the left lower zone effacing the left heart border suspicious  for infective changes.  Clinical correlation suggested.  Atelectasis noted in the  right lower zone.   There is subtle ovoid density projected over the lateral aspect of the right seventh  rib measuring 2.0 cm.  This may represent a nipple shadow.  Repeat radiograph with  nipple markers suggested to exclude underlying pulmonary lesion. No sizable pleural effusion is seen. Old left clavicle fracture seen.   Further action or early intervention required Reported by: &lt;DOCTOR&gt;</w:t>
      </w:r>
    </w:p>
    <w:p>
      <w:r>
        <w:t>Accession Number: 999bcb77079a396ec2caf847f641d19d4873961f71702e23c8ad5f7e4b25c905</w:t>
      </w:r>
    </w:p>
    <w:p>
      <w:r>
        <w:t>Updated Date Time: 26/9/2018 12:31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