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11595</w:t>
      </w:r>
    </w:p>
    <w:p>
      <w:r>
        <w:t>Visit Number: de18d64b3ffe6df151c1cd4eadb47f030bb1fc8603d76d3fd02a1bca9f7d70db</w:t>
      </w:r>
    </w:p>
    <w:p>
      <w:r>
        <w:t>Masked_PatientID: 11584</w:t>
      </w:r>
    </w:p>
    <w:p>
      <w:r>
        <w:t>Order ID: f09a5a561bee04697f541e6a0ce87380df1ffe64ff7f3aee1dbd29d8a9a58af2</w:t>
      </w:r>
    </w:p>
    <w:p>
      <w:r>
        <w:t>Order Name: Chest X-ray, Erect</w:t>
      </w:r>
    </w:p>
    <w:p>
      <w:r>
        <w:t>Result Item Code: CHE-ER</w:t>
      </w:r>
    </w:p>
    <w:p>
      <w:r>
        <w:t>Performed Date Time: 27/1/2017 13:40</w:t>
      </w:r>
    </w:p>
    <w:p>
      <w:r>
        <w:t>Line Num: 1</w:t>
      </w:r>
    </w:p>
    <w:p>
      <w:r>
        <w:t>Text:       HISTORY Septic workup. Known intraabdo sepsis cx perforation, bilateral foot gangrene s/p BKA, coag neg  staph bacteremia from line sepsis tachycardic and spike fever REPORT  Right central venous line is noted in situ with tip atthe root of the SVC.  There  are ground-glass changes in both lower zones with small effusions.  Findings suggest  pulmonary oedema fluid overload.  Superimposed infection cannot be excluded   Known / Minor  Finalised by: &lt;DOCTOR&gt;</w:t>
      </w:r>
    </w:p>
    <w:p>
      <w:r>
        <w:t>Accession Number: 150714a91ea51b2c735bef11459bd1646ca421e6a0142f7959d6ce546da89ba3</w:t>
      </w:r>
    </w:p>
    <w:p>
      <w:r>
        <w:t>Updated Date Time: 28/1/2017 20:18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