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11596</w:t>
      </w:r>
    </w:p>
    <w:p>
      <w:r>
        <w:t>Visit Number: de18d64b3ffe6df151c1cd4eadb47f030bb1fc8603d76d3fd02a1bca9f7d70db</w:t>
      </w:r>
    </w:p>
    <w:p>
      <w:r>
        <w:t>Masked_PatientID: 11584</w:t>
      </w:r>
    </w:p>
    <w:p>
      <w:r>
        <w:t>Order ID: 243925e086af92f89078f7e94cca01caa35d90ee62cbf23a417b9f1f14bf8612</w:t>
      </w:r>
    </w:p>
    <w:p>
      <w:r>
        <w:t>Order Name: Chest X-ray</w:t>
      </w:r>
    </w:p>
    <w:p>
      <w:r>
        <w:t>Result Item Code: CHE-NOV</w:t>
      </w:r>
    </w:p>
    <w:p>
      <w:r>
        <w:t>Performed Date Time: 27/2/2017 13:05</w:t>
      </w:r>
    </w:p>
    <w:p>
      <w:r>
        <w:t>Line Num: 1</w:t>
      </w:r>
    </w:p>
    <w:p>
      <w:r>
        <w:t>Text:       HISTORY Sepsis with underying vasculitis. and hypotension REPORT Comparison is made with the study dated 27/01/2017. The endotracheal tube is 5.5 cm above the carina.  The right PICC and right central  venous catheter tips are projected over the superior vena cava. The heart size is not accurately assessed in this projection.  There is perihilar  and lower zone air space opacities as well as bilateral pleural effusions.  This  is not significantly changed from the previous study. Findings suggest pulmonary  oedema fluid overload.   May need further action Finalised by: &lt;DOCTOR&gt;</w:t>
      </w:r>
    </w:p>
    <w:p>
      <w:r>
        <w:t>Accession Number: e1c1cd4ea6bcc44383b7ddf64f859e95568c758a410c16edb26a5caf1d49db8b</w:t>
      </w:r>
    </w:p>
    <w:p>
      <w:r>
        <w:t>Updated Date Time: 28/2/2017 13:39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