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11597</w:t>
      </w:r>
    </w:p>
    <w:p>
      <w:r>
        <w:t>Visit Number: de18d64b3ffe6df151c1cd4eadb47f030bb1fc8603d76d3fd02a1bca9f7d70db</w:t>
      </w:r>
    </w:p>
    <w:p>
      <w:r>
        <w:t>Masked_PatientID: 11584</w:t>
      </w:r>
    </w:p>
    <w:p>
      <w:r>
        <w:t>Order ID: c819b9ae2aa497f916749a8e7e7dc51d41db1f2a01e1651c0d2850a650b0247a</w:t>
      </w:r>
    </w:p>
    <w:p>
      <w:r>
        <w:t>Order Name: Chest X-ray</w:t>
      </w:r>
    </w:p>
    <w:p>
      <w:r>
        <w:t>Result Item Code: CHE-NOV</w:t>
      </w:r>
    </w:p>
    <w:p>
      <w:r>
        <w:t>Performed Date Time: 27/2/2017 18:14</w:t>
      </w:r>
    </w:p>
    <w:p>
      <w:r>
        <w:t>Line Num: 1</w:t>
      </w:r>
    </w:p>
    <w:p>
      <w:r>
        <w:t>Text:       HISTORY post NGT insertion REPORT  Comparison dated 27/02/2017. Nasogastric tube is now noted crossing into the abdomen with the tip projecting over  the expected location of the stomach.  Endotracheal tube is seen approximately6.5  cm above the carina.  Right internal jugular approach and right-sided PICC catheters  remain in unchanged position projecting over the SVC. The cardiac silhouette cannot be adequately assessed on this projection.  There is  perihilar vascular congestion, although this appears improved from prior study.   There is slight improved aeration at the right lung base, although bilateral pleural  effusions are persistent.  Opacity at the left lung base may be due to compressive  atelectasisalthough underlying infection cannot be totally excluded.  There is no  pneumothorax. Soft tissues and osseous structures remain unchanged from prior.   May need further action Finalised by: &lt;DOCTOR&gt;</w:t>
      </w:r>
    </w:p>
    <w:p>
      <w:r>
        <w:t>Accession Number: 7d15cc8f3fa8e5e6ad52cc2ca0c1092386cdb50f1357ebf3057a911fbec71680</w:t>
      </w:r>
    </w:p>
    <w:p>
      <w:r>
        <w:t>Updated Date Time: 28/2/2017 12:16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