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11619</w:t>
      </w:r>
    </w:p>
    <w:p>
      <w:r>
        <w:t>Visit Number: a2913e615cff5f99e3b14e10f19c79cc758edfcb71cfc39705b35ae0705c6b19</w:t>
      </w:r>
    </w:p>
    <w:p>
      <w:r>
        <w:t>Masked_PatientID: 11619</w:t>
      </w:r>
    </w:p>
    <w:p>
      <w:r>
        <w:t>Order ID: 4a0a61c46e26d524b1bd00317f91ec565438027de9a702ef3afd2e4fcc285f2b</w:t>
      </w:r>
    </w:p>
    <w:p>
      <w:r>
        <w:t>Order Name: CT Chest or Thorax</w:t>
      </w:r>
    </w:p>
    <w:p>
      <w:r>
        <w:t>Result Item Code: CTCHE</w:t>
      </w:r>
    </w:p>
    <w:p>
      <w:r>
        <w:t>Performed Date Time: 14/9/2015 9:42</w:t>
      </w:r>
    </w:p>
    <w:p>
      <w:r>
        <w:t>Line Num: 1</w:t>
      </w:r>
    </w:p>
    <w:p>
      <w:r>
        <w:t>Text:       HISTORY hemotysis on background of bronchiectasis, preiously treated NTM, TRO worsening of  bronchiectasis or recurrence of NTM TECHNIQUE Scans of the thorax were acquired after the administration of 50 ml of intravenous  contrast(Omnipaque 350). FINDINGS Comparison made with the last CT scan of 19 February 2014. There is again overall stable bronchiectasis and scarring in the middle lobe and  lingua. Areas of atelectasis/subsegmental consolidation in the lingua and in the  left lower lobe show interval improvement. There is interval new/worsening bronchiolectasis  and parenchymal change in the right lower lobe (series five, image 32).  In addition, minor atelectasis is also noted in the lower lobes. Small nodular opacities  in the medial/posterior basal segments of the right lower lobe are likely inflammatory  (series 5, image 35). Bilateral apical scarring is again noted.  The mediastinal vessels opacify normally. No significantly enlarged mediastinal,  hilar, axillary or supraclavicular lymph node is detected. The heart is enlarged.  No pericardial or pleural effusion is seen. The limited sections of the upper abdomen in the arterial phase are unremarkable.  No destructive bony process is seen. CONCLUSION Overall stable bronchiectasis and scarring in the middle lobe and lingua. There is  mild progression of disease in the right lower lobe with interval new/worsening bronchiolectasis  and parenchymal change.    Known / Minor  Reported by: &lt;DOCTOR&gt;</w:t>
      </w:r>
    </w:p>
    <w:p>
      <w:r>
        <w:t>Accession Number: bc72faf5b117083b563221d4e5caa15fa4dfbf1a6fe0c569ec3a040f19b5b939</w:t>
      </w:r>
    </w:p>
    <w:p>
      <w:r>
        <w:t>Updated Date Time: 14/9/2015 14:18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