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11645</w:t>
      </w:r>
    </w:p>
    <w:p>
      <w:r>
        <w:t>Visit Number: 7431fad64d8ca5502c3fd4469263399aa50afa85536dfde736bd9d72c50eb278</w:t>
      </w:r>
    </w:p>
    <w:p>
      <w:r>
        <w:t>Masked_PatientID: 11643</w:t>
      </w:r>
    </w:p>
    <w:p>
      <w:r>
        <w:t>Order ID: 21bac71251d9a806516ef48fbfc9db2ca54bd957b96433eb456ffb35a9d39bec</w:t>
      </w:r>
    </w:p>
    <w:p>
      <w:r>
        <w:t>Order Name: Chest X-ray</w:t>
      </w:r>
    </w:p>
    <w:p>
      <w:r>
        <w:t>Result Item Code: CHE-NOV</w:t>
      </w:r>
    </w:p>
    <w:p>
      <w:r>
        <w:t>Performed Date Time: 16/7/2018 20:37</w:t>
      </w:r>
    </w:p>
    <w:p>
      <w:r>
        <w:t>Line Num: 1</w:t>
      </w:r>
    </w:p>
    <w:p>
      <w:r>
        <w:t>Text:       HISTORY Chest pain with SOB. REPORT Chest radiograph, PA view Comparison is made with the prior chest radiograph dated 25 June 2018 and CT dated  27 June 2018. The cardiac size is within normal limits. Intimal calcification of the unfolded thoracic  aorta is noted. Diffuse reticular opacities, consistent with background interstitial lung disease  remain largely stable. Suboptimal inspiration is likely related to interstitial disease. There is no consolidation, pleural effusion or pneumothorax. A non-specific 1.5cm linear opacity projected over the expected location of the distal  oesophagus may be related to prior intervention.    Known / Minor Reported by: &lt;DOCTOR&gt;</w:t>
      </w:r>
    </w:p>
    <w:p>
      <w:r>
        <w:t>Accession Number: 59662f3fb150c5c5f6285ef5ae0995fa4c636c8d403e1c0b8917594af97c6a42</w:t>
      </w:r>
    </w:p>
    <w:p>
      <w:r>
        <w:t>Updated Date Time: 17/7/2018 11:33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