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11643</w:t>
      </w:r>
    </w:p>
    <w:p>
      <w:r>
        <w:t>Visit Number: db50cc4fe48788cb542dacde9704fc643d510ed71d7c5fead737de6867b1768a</w:t>
      </w:r>
    </w:p>
    <w:p>
      <w:r>
        <w:t>Masked_PatientID: 11643</w:t>
      </w:r>
    </w:p>
    <w:p>
      <w:r>
        <w:t>Order ID: 760efac018638661fa9dfaff2c6203ceff5393c48b1b2496a61a1643243b923f</w:t>
      </w:r>
    </w:p>
    <w:p>
      <w:r>
        <w:t>Order Name: Chest X-ray, Erect</w:t>
      </w:r>
    </w:p>
    <w:p>
      <w:r>
        <w:t>Result Item Code: CHE-ER</w:t>
      </w:r>
    </w:p>
    <w:p>
      <w:r>
        <w:t>Performed Date Time: 18/12/2016 17:59</w:t>
      </w:r>
    </w:p>
    <w:p>
      <w:r>
        <w:t>Line Num: 1</w:t>
      </w:r>
    </w:p>
    <w:p>
      <w:r>
        <w:t>Text:       HISTORY swallowing problem REPORT Prior radiograph (29 Sep 2015) reviewed. The patient is rotated. No definitive radiopaque foreign body seen within the mediastinal silhouette.  There is prominence of the pulmonary vascularmarkings. Kerley B lines in the peripheral  left mid zone are keeping with interstitial oedema. The subcentimetre ill-defined  nodular opacities in the left mid zone appear similar to before and are nonspecific,  ? vascular, alveolar oedema or less likely, neoplastic; follow up is suggested. Cardiomegaly and the unfolded, calcified thoracic aorta show no gross interval change.   Further action or early intervention required Finalised by: &lt;DOCTOR&gt;</w:t>
      </w:r>
    </w:p>
    <w:p>
      <w:r>
        <w:t>Accession Number: 844e7dcf50baf052da6c26ad79c9c7281ba8c7fb9e3e08bba1eeb4fabba5bd38</w:t>
      </w:r>
    </w:p>
    <w:p>
      <w:r>
        <w:t>Updated Date Time: 19/12/2016 17:36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