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11687</w:t>
      </w:r>
    </w:p>
    <w:p>
      <w:r>
        <w:t>Visit Number: b8e2ff794c60869c96a2839a75c7107d679af24b22985dfa6f08c83871fd0566</w:t>
      </w:r>
    </w:p>
    <w:p>
      <w:r>
        <w:t>Masked_PatientID: 11684</w:t>
      </w:r>
    </w:p>
    <w:p>
      <w:r>
        <w:t>Order ID: 3777ea4ce1d96fa0a0fc91fd87891a4157970aa91e5f6dc4b2e3f8641b685af0</w:t>
      </w:r>
    </w:p>
    <w:p>
      <w:r>
        <w:t>Order Name: Chest X-ray, Erect</w:t>
      </w:r>
    </w:p>
    <w:p>
      <w:r>
        <w:t>Result Item Code: CHE-ER</w:t>
      </w:r>
    </w:p>
    <w:p>
      <w:r>
        <w:t>Performed Date Time: 08/7/2017 10:14</w:t>
      </w:r>
    </w:p>
    <w:p>
      <w:r>
        <w:t>Line Num: 1</w:t>
      </w:r>
    </w:p>
    <w:p>
      <w:r>
        <w:t>Text:       HISTORY post intubation REPORT Comparison is made with the prior radiograph of the same day. The patient is status post intubation with the tip of the endotracheal tube projected  4.3 cm above the carina. The heart size cannot be accurately assessed in this supine projection. Diffuse air space consolidation is noted in both lungs, largely unchanged in the  interim.  A 1.9 x 1.7 cm ovoid opacity projected over the right midzone is likely  to represent a nipple shadow. Blunting of the left costophrenic angle may represent a small pleural effusion.   Further action or early intervention required Finalised by: &lt;DOCTOR&gt;</w:t>
      </w:r>
    </w:p>
    <w:p>
      <w:r>
        <w:t>Accession Number: 27ad6d1a3a28136e76e9378722184c6d42765ebe696277f48dea571137acfd6a</w:t>
      </w:r>
    </w:p>
    <w:p>
      <w:r>
        <w:t>Updated Date Time: 08/7/2017 16:28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