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11684</w:t>
      </w:r>
    </w:p>
    <w:p>
      <w:r>
        <w:t>Visit Number: 9d6f16de63caa3de25af2eaa8a03c9bd2302de0ce9344e3537d8b7d97244ec74</w:t>
      </w:r>
    </w:p>
    <w:p>
      <w:r>
        <w:t>Masked_PatientID: 11684</w:t>
      </w:r>
    </w:p>
    <w:p>
      <w:r>
        <w:t>Order ID: c6ab76a6908dc5bbd0515c4cb8ca28e2a24a584c81de7a027eb839dcd0e134b9</w:t>
      </w:r>
    </w:p>
    <w:p>
      <w:r>
        <w:t>Order Name: Chest X-ray, Erect</w:t>
      </w:r>
    </w:p>
    <w:p>
      <w:r>
        <w:t>Result Item Code: CHE-ER</w:t>
      </w:r>
    </w:p>
    <w:p>
      <w:r>
        <w:t>Performed Date Time: 08/7/2017 16:28</w:t>
      </w:r>
    </w:p>
    <w:p>
      <w:r>
        <w:t>Line Num: 1</w:t>
      </w:r>
    </w:p>
    <w:p>
      <w:r>
        <w:t>Text:       HISTORY PEA collapse, respiratory failure REPORT  Comparison is made with the earlier chest x-ray at 1009hrs. Interval insertion of left neck central venous catheter.  Tip is visualised in the  SVC.  Nasogastric tube was also inserted, extending below the left hemidiaphgram.   Tip is outside the field of view of the radiograph.  Endotracheal tube remains adequately  positioned. The heart is enlarged.  Bilateral diffuse airspace opacification is largely unchanged.   Small bilateral pleural effusions are noted.  No pneumothorax.   May need further action Finalised by: &lt;DOCTOR&gt;</w:t>
      </w:r>
    </w:p>
    <w:p>
      <w:r>
        <w:t>Accession Number: 81f1ffd1bc9f52be01980e741c7bdd9150aaad82d19ebbccb373492d68149413</w:t>
      </w:r>
    </w:p>
    <w:p>
      <w:r>
        <w:t>Updated Date Time: 10/7/2017 10:38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