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11755</w:t>
      </w:r>
    </w:p>
    <w:p>
      <w:r>
        <w:t>Visit Number: 42aaf4483408a3f8ce9baa07901e4f223cab549acdb7f09973f4a620fd619bc6</w:t>
      </w:r>
    </w:p>
    <w:p>
      <w:r>
        <w:t>Masked_PatientID: 11755</w:t>
      </w:r>
    </w:p>
    <w:p>
      <w:r>
        <w:t>Order ID: 394bb3713d9542548eff6567fd48ec4c579dc41670d9307b288f65a248b9498d</w:t>
      </w:r>
    </w:p>
    <w:p>
      <w:r>
        <w:t>Order Name: Chest X-ray, Erect</w:t>
      </w:r>
    </w:p>
    <w:p>
      <w:r>
        <w:t>Result Item Code: CHE-ER</w:t>
      </w:r>
    </w:p>
    <w:p>
      <w:r>
        <w:t>Performed Date Time: 04/6/2017 11:12</w:t>
      </w:r>
    </w:p>
    <w:p>
      <w:r>
        <w:t>Line Num: 1</w:t>
      </w:r>
    </w:p>
    <w:p>
      <w:r>
        <w:t>Text:       HISTORY dyspnea REPORT Comparison was made with the previous chest radiograph dated 17 March 2014. The heart size cannot be accurately assessed in the AP projection. Airspace opacification is seen in the left lower zone, likely representing an underlying  lung infection. A small left pleural effusion is also identified. Since the prior chest radiograph, multiple bilateral rib fractures and fracture dislocation  of the right acromioclavicular joint are detected – please correlate clinically for  recent history of trauma. A T11 compression fracture of uncertain chronicity is also  visualized.   Further action or early intervention required Finalised by: &lt;DOCTOR&gt;</w:t>
      </w:r>
    </w:p>
    <w:p>
      <w:r>
        <w:t>Accession Number: 6ea1bdcebbfcc1a0911ff1f5873c08b49cd187c4ba7ea75182a14ad78dd6f358</w:t>
      </w:r>
    </w:p>
    <w:p>
      <w:r>
        <w:t>Updated Date Time: 04/6/2017 16:08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