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11790</w:t>
      </w:r>
    </w:p>
    <w:p>
      <w:r>
        <w:t>Visit Number: 85f07e4bca301693e4394b8bc6e34e3ee26edf0e4b9d3ae1f63e58c26fd66e72</w:t>
      </w:r>
    </w:p>
    <w:p>
      <w:r>
        <w:t>Masked_PatientID: 11778</w:t>
      </w:r>
    </w:p>
    <w:p>
      <w:r>
        <w:t>Order ID: ef51d9786a274aeef333d79396cf779b06c5e7db8f6ad3bdb6c2729b09b3f810</w:t>
      </w:r>
    </w:p>
    <w:p>
      <w:r>
        <w:t>Order Name: Chest X-ray</w:t>
      </w:r>
    </w:p>
    <w:p>
      <w:r>
        <w:t>Result Item Code: CHE-NOV</w:t>
      </w:r>
    </w:p>
    <w:p>
      <w:r>
        <w:t>Performed Date Time: 14/2/2018 9:55</w:t>
      </w:r>
    </w:p>
    <w:p>
      <w:r>
        <w:t>Line Num: 1</w:t>
      </w:r>
    </w:p>
    <w:p>
      <w:r>
        <w:t>Text:       HISTORY post cabg REPORT CHEST AP – SUPINE Comparison is made with the chest radiograph of 13 February 2018. The tip of the endotracheal tube is projected approximately 5.9 cm above the carina.  The tips of the right and leftinternal jugular venous catheters are stable in position.  The IABP marker is projected over the aortic arch, in stable position. The tip of  the left chest tube is projected over the left upper zone.  Sternotomy wires and mediastinal clips are in keeping with prior CABG.  Temporary pacing wires are noted.  The heart size cannot be accurately assessed on the supine projection. Air space opacities are seen in the left retrocardiac region. Linear atelectasis  is seen in the left mid zone. Mild blunting of the left costophrenic angle may represent  a small pleural effusion.   May need further action Finalised by: &lt;DOCTOR&gt;</w:t>
      </w:r>
    </w:p>
    <w:p>
      <w:r>
        <w:t>Accession Number: dfdde555844424ea87fe8faf5c595e7218d2556e2cf79af45e04498940f13b46</w:t>
      </w:r>
    </w:p>
    <w:p>
      <w:r>
        <w:t>Updated Date Time: 14/2/2018 17:46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