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11820</w:t>
      </w:r>
    </w:p>
    <w:p>
      <w:r>
        <w:t>Visit Number: 2ab863573e2a2bbe5921e84d3315376a4dbd4dbbd70c226fb621b923a5c839ce</w:t>
      </w:r>
    </w:p>
    <w:p>
      <w:r>
        <w:t>Masked_PatientID: 11809</w:t>
      </w:r>
    </w:p>
    <w:p>
      <w:r>
        <w:t>Order ID: ef95d44c6c787121e1cd97991a29b6ee4bfde2a6b4f6d80a79639f4f6e9a7392</w:t>
      </w:r>
    </w:p>
    <w:p>
      <w:r>
        <w:t>Order Name: Chest X-ray</w:t>
      </w:r>
    </w:p>
    <w:p>
      <w:r>
        <w:t>Result Item Code: CHE-NOV</w:t>
      </w:r>
    </w:p>
    <w:p>
      <w:r>
        <w:t>Performed Date Time: 12/4/2017 15:32</w:t>
      </w:r>
    </w:p>
    <w:p>
      <w:r>
        <w:t>Line Num: 1</w:t>
      </w:r>
    </w:p>
    <w:p>
      <w:r>
        <w:t>Text:       HISTORY POst ETT REPORT  Compared with a study dated 11 April 2017. The endotracheal tube and feeding tubes are in situ The heart size is within normal limits.  Interval increase in confluent air space opacities in both lungs, predominantly in  bibasal areas and right perihilar midzone, which may represent worsening underlying  infective process.  No sizable pleural effusion or pneumothorax is seen.  May need further action Finalised by: &lt;DOCTOR&gt;</w:t>
      </w:r>
    </w:p>
    <w:p>
      <w:r>
        <w:t>Accession Number: 486b17083133929ec0a65cbcb4391f289726655268a5891f304c42dffe672efb</w:t>
      </w:r>
    </w:p>
    <w:p>
      <w:r>
        <w:t>Updated Date Time: 15/4/2017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