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11888</w:t>
      </w:r>
    </w:p>
    <w:p>
      <w:r>
        <w:t>Visit Number: 940f64a63e4855fcea88b8b6c6dbb3b487280b1e3599aba49640f9f36eeb560e</w:t>
      </w:r>
    </w:p>
    <w:p>
      <w:r>
        <w:t>Masked_PatientID: 11875</w:t>
      </w:r>
    </w:p>
    <w:p>
      <w:r>
        <w:t>Order ID: 411033f86f73e71dca9ca9b9642c6f6fd4c355e2f22eb3cee3216b522685e2b0</w:t>
      </w:r>
    </w:p>
    <w:p>
      <w:r>
        <w:t>Order Name: Chest X-ray</w:t>
      </w:r>
    </w:p>
    <w:p>
      <w:r>
        <w:t>Result Item Code: CHE-NOV</w:t>
      </w:r>
    </w:p>
    <w:p>
      <w:r>
        <w:t>Performed Date Time: 28/9/2016 6:45</w:t>
      </w:r>
    </w:p>
    <w:p>
      <w:r>
        <w:t>Line Num: 1</w:t>
      </w:r>
    </w:p>
    <w:p>
      <w:r>
        <w:t>Text:       HISTORY recent pneumonia, fluid over load and iatrogenic left haemopneumothorax to reassess REPORT  Compared with previous film dated 21/09/2016.  Patchy air space opacities in both  lungs, show mixed interval change in that the right lung changes appear less prominent  now whereas air space changes in the left upper and lower zones have worsened in  the interval.  Also there is a loculated left effusion, larger now .  No convincing  pneumothorax is seen. Fibrocalcific changes in the right apical region, as before. Generalised sclerosis of the bones, as before may be due to underlying haematological  condition.   May need further action Finalised by: &lt;DOCTOR&gt;</w:t>
      </w:r>
    </w:p>
    <w:p>
      <w:r>
        <w:t>Accession Number: 1dec26d8e7fa0cf063f055e3f3cc93ae551f43d05983a44b820edbd3812d938f</w:t>
      </w:r>
    </w:p>
    <w:p>
      <w:r>
        <w:t>Updated Date Time: 28/9/2016 15:36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