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11932</w:t>
      </w:r>
    </w:p>
    <w:p>
      <w:r>
        <w:t>Visit Number: 69b1a100f9116f64b1e78ae19071055451a98e88acb352c584f643e5000cc3c7</w:t>
      </w:r>
    </w:p>
    <w:p>
      <w:r>
        <w:t>Masked_PatientID: 11923</w:t>
      </w:r>
    </w:p>
    <w:p>
      <w:r>
        <w:t>Order ID: 7aa44059dc33f28a816bda13ec4b374a8d141918a7f6f946b33733b7fa6620c5</w:t>
      </w:r>
    </w:p>
    <w:p>
      <w:r>
        <w:t>Order Name: Chest X-ray</w:t>
      </w:r>
    </w:p>
    <w:p>
      <w:r>
        <w:t>Result Item Code: CHE-NOV</w:t>
      </w:r>
    </w:p>
    <w:p>
      <w:r>
        <w:t>Performed Date Time: 30/3/2017 5:50</w:t>
      </w:r>
    </w:p>
    <w:p>
      <w:r>
        <w:t>Line Num: 1</w:t>
      </w:r>
    </w:p>
    <w:p>
      <w:r>
        <w:t>Text:       HISTORY fluid overload to assess response REPORT  Comparison dated 29/03/2017. Nasogastric tube is seen crossing into the abdomen with the tip projecting over the  distal stomach.  Right subclavian approach central venous catheter is seen with the  tip projecting at the level of the cavoatrial junction.  The cardiac silhouette cannot  be adequately assessed on this projection. A large left-sided pleural effusion persists, similar to prior.  Air space opacities  in the left lung may be due to passive atelectasis, although underlying infection  is not excluded. There is slight interval improved aeration at the right lung base  from prior. No significant right-sided pleural effusion or pneumothorax is appreciated. Soft tissues and osseous structures appear unchanged from prior.   May need further action Finalised by: &lt;DOCTOR&gt;</w:t>
      </w:r>
    </w:p>
    <w:p>
      <w:r>
        <w:t>Accession Number: 46c0bda5e42b803ba7209b57d0451b811dcb8f1af6ec4b6140ca6bd2c63df442</w:t>
      </w:r>
    </w:p>
    <w:p>
      <w:r>
        <w:t>Updated Date Time: 30/3/2017 9:45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