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11971</w:t>
      </w:r>
    </w:p>
    <w:p>
      <w:r>
        <w:t>Visit Number: e76dd0e94d81c493ee370d77145e3f69ac9e852c1d8192af643792df0cc97234</w:t>
      </w:r>
    </w:p>
    <w:p>
      <w:r>
        <w:t>Masked_PatientID: 11970</w:t>
      </w:r>
    </w:p>
    <w:p>
      <w:r>
        <w:t>Order ID: 9eeb68e92da4c3bed3296b1128361a8bbf06025b3a877906c98b05fd1c1e34a9</w:t>
      </w:r>
    </w:p>
    <w:p>
      <w:r>
        <w:t>Order Name: Chest X-ray, Erect</w:t>
      </w:r>
    </w:p>
    <w:p>
      <w:r>
        <w:t>Result Item Code: CHE-ER</w:t>
      </w:r>
    </w:p>
    <w:p>
      <w:r>
        <w:t>Performed Date Time: 06/6/2020 16:44</w:t>
      </w:r>
    </w:p>
    <w:p>
      <w:r>
        <w:t>Line Num: 1</w:t>
      </w:r>
    </w:p>
    <w:p>
      <w:r>
        <w:t>Text: HISTORY  Bilateral LL erythema-cellulitis vs infected eczema TRO COVID consult REPORT Midline sternotomy wires are noted. The lungs are hyperinflated due to underlying COPD. Mild calcific, biapical pleural thickening may be related to previous infection. Small, symmetrical and rounded opacities projected over bilateral mid to lower zones  are likely related to nipple shadowing. No definite consolidative changes are noted. There is a healing fracture of the posterior righteighth rib. Old fractures of the  right 6th and 7th ribs are noted. Report Indicator: Known / Minor Finalised by: &lt;DOCTOR&gt;</w:t>
      </w:r>
    </w:p>
    <w:p>
      <w:r>
        <w:t>Accession Number: fcaf026c64eed05678b71d27587f79314dc4ed59bf18d1489b42f3269e7fe2e6</w:t>
      </w:r>
    </w:p>
    <w:p>
      <w:r>
        <w:t>Updated Date Time: 06/6/2020 17:21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