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12009</w:t>
      </w:r>
    </w:p>
    <w:p>
      <w:r>
        <w:t>Visit Number: 79a11d7a62c06656869e3c44d97e394b035961d59428a5501e0b53e1f28a277b</w:t>
      </w:r>
    </w:p>
    <w:p>
      <w:r>
        <w:t>Masked_PatientID: 12009</w:t>
      </w:r>
    </w:p>
    <w:p>
      <w:r>
        <w:t>Order ID: 2ef0b0c16fc616215311c6067c616452a287cf889517cd657630c6a4ce065e08</w:t>
      </w:r>
    </w:p>
    <w:p>
      <w:r>
        <w:t>Order Name: Chest X-ray</w:t>
      </w:r>
    </w:p>
    <w:p>
      <w:r>
        <w:t>Result Item Code: CHE-NOV</w:t>
      </w:r>
    </w:p>
    <w:p>
      <w:r>
        <w:t>Performed Date Time: 18/4/2019 19:44</w:t>
      </w:r>
    </w:p>
    <w:p>
      <w:r>
        <w:t>Line Num: 1</w:t>
      </w:r>
    </w:p>
    <w:p>
      <w:r>
        <w:t>Text: HISTORY  desaturated REPORT Comparison made with the prior chest radiograph dated 17 April 2019. Chest PA erect. Heart size is within normal limits. Aortic unfolding is noted. There is increase in the right pleural effusion now with possible loculated areas  along the right horizontal fissure, right lateral hemithorax and in the right upper  thorax. There is associated increased compressive atelectasis of the right lung. There is mild atelectasis in the left lower zone. No leftpleural effusion or consolidation  in the left lung. Old left mid clavicular fracture. Old fracture of the left sixth rib lateral aspect  is noted. Report Indicator: Further action or early intervention required Finalised by: &lt;DOCTOR&gt;</w:t>
      </w:r>
    </w:p>
    <w:p>
      <w:r>
        <w:t>Accession Number: 643927136c7d30e449059aad74c4c68f4fe4f97ebde2c6ef4a5dbb19e718ab23</w:t>
      </w:r>
    </w:p>
    <w:p>
      <w:r>
        <w:t>Updated Date Time: 19/4/2019 8:06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