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12035</w:t>
      </w:r>
    </w:p>
    <w:p>
      <w:r>
        <w:t>Visit Number: 3f05de06032e88cd0a10a54f8704d71ef6d1a44492521045131127be761fd292</w:t>
      </w:r>
    </w:p>
    <w:p>
      <w:r>
        <w:t>Masked_PatientID: 12028</w:t>
      </w:r>
    </w:p>
    <w:p>
      <w:r>
        <w:t>Order ID: e5675b7214d842dfe2d702a95e133a6f3d9d3d18a74092aa344afb21d68927eb</w:t>
      </w:r>
    </w:p>
    <w:p>
      <w:r>
        <w:t>Order Name: Chest X-ray, Erect</w:t>
      </w:r>
    </w:p>
    <w:p>
      <w:r>
        <w:t>Result Item Code: CHE-ER</w:t>
      </w:r>
    </w:p>
    <w:p>
      <w:r>
        <w:t>Performed Date Time: 10/8/2015 14:23</w:t>
      </w:r>
    </w:p>
    <w:p>
      <w:r>
        <w:t>Line Num: 1</w:t>
      </w:r>
    </w:p>
    <w:p>
      <w:r>
        <w:t>Text:       HISTORY ESRF on HD, came for SOB since 4am REPORT Comparison was made with the previous radiograph dated 17 March 2015.  The heart is enlarged despite projection. Mural calcification of the aortic knuckle  is noted.  Interval development of bilateral perihilar and lower zones airspace opacification  with upper lobe diversion are suggestive of pulmonary oedema. Left retrocardiac airspace  opacification with air-bonchogram suggest superimposed infection. Bilateral smallpleural effusions are present.    Further action or early intervention required Finalised by: &lt;DOCTOR&gt;</w:t>
      </w:r>
    </w:p>
    <w:p>
      <w:r>
        <w:t>Accession Number: 436a2172d34e5761f4b3ed29809dd025cd61b7f547aac450858ed64d6b3f5c7b</w:t>
      </w:r>
    </w:p>
    <w:p>
      <w:r>
        <w:t>Updated Date Time: 11/8/2015 13:32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