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12087</w:t>
      </w:r>
    </w:p>
    <w:p>
      <w:r>
        <w:t>Visit Number: 2a590ef71d281969a6242a17664a4b41492cb73ba9fbe91469ea963294d8b64a</w:t>
      </w:r>
    </w:p>
    <w:p>
      <w:r>
        <w:t>Masked_PatientID: 12061</w:t>
      </w:r>
    </w:p>
    <w:p>
      <w:r>
        <w:t>Order ID: 751070dfd9983ae5183345095962d7048670e14b0b27e63cf439b9d5d584f3a0</w:t>
      </w:r>
    </w:p>
    <w:p>
      <w:r>
        <w:t>Order Name: Chest X-ray</w:t>
      </w:r>
    </w:p>
    <w:p>
      <w:r>
        <w:t>Result Item Code: CHE-NOV</w:t>
      </w:r>
    </w:p>
    <w:p>
      <w:r>
        <w:t>Performed Date Time: 05/1/2019 9:37</w:t>
      </w:r>
    </w:p>
    <w:p>
      <w:r>
        <w:t>Line Num: 1</w:t>
      </w:r>
    </w:p>
    <w:p>
      <w:r>
        <w:t>Text:       HISTORY cough SOB REPORT Prior radiograph dated 25 May 2018 was reviewed. Dual lead AICD is seen inside with intact leads in stable positions. The heart is mildly enlarged.  There is unfolding of the thoracic aorta is seen. Patchy airspace opacities are seen in the bilateral lower zones. These may represent  early infective change or subsegmental atelectasis. Clinical correlation is suggested.  Blunting of the bilateral costophrenic angles may represent small effusions.    May need further action Finalised by: &lt;DOCTOR&gt;</w:t>
      </w:r>
    </w:p>
    <w:p>
      <w:r>
        <w:t>Accession Number: 1d895a395badbf4fc2b0de83d8232ea4e5c3ee8165201b5698e42de109555458</w:t>
      </w:r>
    </w:p>
    <w:p>
      <w:r>
        <w:t>Updated Date Time: 05/1/2019 12:41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