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12078</w:t>
      </w:r>
    </w:p>
    <w:p>
      <w:r>
        <w:t>Visit Number: bead96d2c4df5bf1f00cab39ac90cc380ea8df227efa97bf7e7129639fad1932</w:t>
      </w:r>
    </w:p>
    <w:p>
      <w:r>
        <w:t>Masked_PatientID: 12061</w:t>
      </w:r>
    </w:p>
    <w:p>
      <w:r>
        <w:t>Order ID: 7a32cbf78078d7d0c27daa1d73ad5da5c0c12687cb11b3942377c0d76385559c</w:t>
      </w:r>
    </w:p>
    <w:p>
      <w:r>
        <w:t>Order Name: CT Chest or Thorax</w:t>
      </w:r>
    </w:p>
    <w:p>
      <w:r>
        <w:t>Result Item Code: CTCHE</w:t>
      </w:r>
    </w:p>
    <w:p>
      <w:r>
        <w:t>Performed Date Time: 13/2/2019 16:50</w:t>
      </w:r>
    </w:p>
    <w:p>
      <w:r>
        <w:t>Line Num: 1</w:t>
      </w:r>
    </w:p>
    <w:p>
      <w:r>
        <w:t>Text:       HISTORY T1RF secondary to HAP in an immunocompromised host  persistently hypoxaemic TECHNIQUE Scans acquired as per department protocol. Intravenous contrast: nil FINDINGS Comparison made with previous chest radiographs and CTthorax dated 24 January 2019  and 8 January 2019.   There is fairly acute and rapid development of bronchiectasis, fibrosis and volume  loss in both lungs most severely affecting both lower lobes.  Subpleural interlobular  septal thickening is present which indicates pulmonary fibrosis.  Pleural thickening  is present in both lungs.  There is no significant pleural effusion.  The heart is  enlarged.  No significant pericardial effusion.  Cardiac pacemaker and NG tube are  in situ.  Within the limits of unenhanced study, there is no enlarged axillary or  mediastinal lymph node.  Visualised upper abdomen reveals polycystic kidney disease  as well as several hepatic cysts.  Increased density of the liver suggests iron deposition.   There is also colonic diverticulosis.  No aggressive bony lesion. CONCLUSION Fairly rapid onset of bilateral pulmonary fibrosis with traction bronchiectasis,  most severely affecting both lower lobes but is also affecting the rest of both lungs.   This suggests recent insult to both lungs which may be related to recent infection  or drug induced aetiology.  Suggest clinical correlation.   May need further action Finalised by: &lt;DOCTOR&gt;</w:t>
      </w:r>
    </w:p>
    <w:p>
      <w:r>
        <w:t>Accession Number: c475c6781cf1768ee6d584b5a2e6401888096f11a1a943c42ec54da0e4370d0a</w:t>
      </w:r>
    </w:p>
    <w:p>
      <w:r>
        <w:t>Updated Date Time: 13/2/2019 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