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12100</w:t>
      </w:r>
    </w:p>
    <w:p>
      <w:r>
        <w:t>Visit Number: 8ad59296221829a001a0c01961eefb4f7e721b40f9ca7bb279c9a612fdd6fd17</w:t>
      </w:r>
    </w:p>
    <w:p>
      <w:r>
        <w:t>Masked_PatientID: 12095</w:t>
      </w:r>
    </w:p>
    <w:p>
      <w:r>
        <w:t>Order ID: 0a969550382b91a31c39f9b296367e1248380d3245e4564bf18cc580321ef625</w:t>
      </w:r>
    </w:p>
    <w:p>
      <w:r>
        <w:t>Order Name: Chest X-ray, Erect</w:t>
      </w:r>
    </w:p>
    <w:p>
      <w:r>
        <w:t>Result Item Code: CHE-ER</w:t>
      </w:r>
    </w:p>
    <w:p>
      <w:r>
        <w:t>Performed Date Time: 01/7/2016 22:59</w:t>
      </w:r>
    </w:p>
    <w:p>
      <w:r>
        <w:t>Line Num: 1</w:t>
      </w:r>
    </w:p>
    <w:p>
      <w:r>
        <w:t>Text:       HISTORY , AKI. REPORT CHEST (AP SITTING MOBILE) TOTAL OF ONE IMAGE The previous chest radiograph of 29 June 2016 at 05:37 p.m. was reviewed with the  report. In the current chest radiograph,  the tip of the right central venous catheter is  projected over the cavoatrial area.   The heart shadow exhibits a left ventricular configuration.  The thoracic aorta appears  to be unfolded. The mass like opacity in the right upper and middle zones is slightly smaller when  compared with the previous radiograph as cited above.   There is also haziness in the left lower zone with effacement of the left lateral  costophrenic angle. CONCLUSION  Follow-up chest radiographs should be performed to ensure that theopacity in the  right upper and middle zones proceeds to full resolution, if deemed to be infection.   May need further action Finalised by: &lt;DOCTOR&gt;</w:t>
      </w:r>
    </w:p>
    <w:p>
      <w:r>
        <w:t>Accession Number: 147dce9619eb8b942575571c58cd9edfe9044e6d6b5aaf8044362e60e5848944</w:t>
      </w:r>
    </w:p>
    <w:p>
      <w:r>
        <w:t>Updated Date Time: 06/7/2016 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