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12212</w:t>
      </w:r>
    </w:p>
    <w:p>
      <w:r>
        <w:t>Visit Number: eb125b64af26833ecd08f6a29995e364c596ad36d9b8c54e6db3c858bf769411</w:t>
      </w:r>
    </w:p>
    <w:p>
      <w:r>
        <w:t>Masked_PatientID: 12212</w:t>
      </w:r>
    </w:p>
    <w:p>
      <w:r>
        <w:t>Order ID: 9aa413acda1ce07348fa94e1b3581cc431790b07123051744564f332e812fa25</w:t>
      </w:r>
    </w:p>
    <w:p>
      <w:r>
        <w:t>Order Name: Chest X-ray</w:t>
      </w:r>
    </w:p>
    <w:p>
      <w:r>
        <w:t>Result Item Code: CHE-NOV</w:t>
      </w:r>
    </w:p>
    <w:p>
      <w:r>
        <w:t>Performed Date Time: 22/2/2017 8:58</w:t>
      </w:r>
    </w:p>
    <w:p>
      <w:r>
        <w:t>Line Num: 1</w:t>
      </w:r>
    </w:p>
    <w:p>
      <w:r>
        <w:t>Text:       HISTORY inhalational injury with creps REPORT  Comparison dated 21/02/2017. The trachea is midline.  The cardiac silhouette is within normal limits for size.   The thoracic aorta is mildly unfolded. Perihilar vascular congestion is noted suggestive of mild interstitial oedema.  Additionally,  patchy opacities are now seen in the left mid to upper lung zone and right lung base.   Minimal blunting of the right costophrenic recess may indicate a small right pleural  effusion.  The left costophrenic angle is sharp.  There is no pneumothorax demonstrated. Soft tissues and osseous structures remain unchanged from prior.   May need further action Finalised by: &lt;DOCTOR&gt;</w:t>
      </w:r>
    </w:p>
    <w:p>
      <w:r>
        <w:t>Accession Number: 13ec8c46969ab12dc2eca2d65369ad8e3baa935222c2e706dee052c8e8053773</w:t>
      </w:r>
    </w:p>
    <w:p>
      <w:r>
        <w:t>Updated Date Time: 22/2/2017 15:12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