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12365</w:t>
      </w:r>
    </w:p>
    <w:p>
      <w:r>
        <w:t>Visit Number: eee7920494e428e5050a0de9ca8d4aec515ead368c41b7880861779e3201ffcc</w:t>
      </w:r>
    </w:p>
    <w:p>
      <w:r>
        <w:t>Masked_PatientID: 12342</w:t>
      </w:r>
    </w:p>
    <w:p>
      <w:r>
        <w:t>Order ID: a0d29476dd7d7e9102d9bab83c33163283afbb1f871c22eabed2fecaf8186dd1</w:t>
      </w:r>
    </w:p>
    <w:p>
      <w:r>
        <w:t>Order Name: Chest X-ray, Erect</w:t>
      </w:r>
    </w:p>
    <w:p>
      <w:r>
        <w:t>Result Item Code: CHE-ER</w:t>
      </w:r>
    </w:p>
    <w:p>
      <w:r>
        <w:t>Performed Date Time: 23/5/2019 15:14</w:t>
      </w:r>
    </w:p>
    <w:p>
      <w:r>
        <w:t>Line Num: 1</w:t>
      </w:r>
    </w:p>
    <w:p>
      <w:r>
        <w:t>Text: HISTORY  SEPSIS; RESUS 2 REPORT Comparison made with the prior radiograph of 22 May 2019. Stable appearance of a stent within the ascending and descending aorta is seen. Median  sternotomy wires and mediastinal clips are noted. Surgical clips are also projected  over the right upper chest wall. Stable aneurysmal dilatation of the aortic knuckle and mediastinal widening is noted. There is interval new retrocardiac opacification. No sizeable pleural effusion.This  may be related toinfection in the current clinical setting. Please correlate with  patient's symptoms. Report Indicator: Further action or early intervention required Finalised by: &lt;DOCTOR&gt;</w:t>
      </w:r>
    </w:p>
    <w:p>
      <w:r>
        <w:t>Accession Number: f16bcb8f83035cf9ee59a77d4083b7c9039ec3cb09739f3aaa1c3699dd843ada</w:t>
      </w:r>
    </w:p>
    <w:p>
      <w:r>
        <w:t>Updated Date Time: 24/5/2019 9:36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