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12412</w:t>
      </w:r>
    </w:p>
    <w:p>
      <w:r>
        <w:t>Visit Number: be745cdd4923824e846b0f26601487f8840ca0835aa4a0f150f96d19d82bb845</w:t>
      </w:r>
    </w:p>
    <w:p>
      <w:r>
        <w:t>Masked_PatientID: 12412</w:t>
      </w:r>
    </w:p>
    <w:p>
      <w:r>
        <w:t>Order ID: b4c930916a76936c543b990e1984aa61e7fc7a71f62ca52c22ae601ac8398283</w:t>
      </w:r>
    </w:p>
    <w:p>
      <w:r>
        <w:t>Order Name: Chest X-ray</w:t>
      </w:r>
    </w:p>
    <w:p>
      <w:r>
        <w:t>Result Item Code: CHE-NOV</w:t>
      </w:r>
    </w:p>
    <w:p>
      <w:r>
        <w:t>Performed Date Time: 05/10/2016 3:32</w:t>
      </w:r>
    </w:p>
    <w:p>
      <w:r>
        <w:t>Line Num: 1</w:t>
      </w:r>
    </w:p>
    <w:p>
      <w:r>
        <w:t>Text:       HISTORY haemoptysis REPORT  Chest PA erect  Comparison study: 14 Apr 2016. The heart size and mediastinum are unremarkable. The lungs are hyperinflated. The air space opacity in the left lower zone/paracardiac region remains grossly unchanged  since April 2016.  There is interval more prominent surrounding bronchial wall thickening,  with equivocal associated airspace change. Scattered scarring is noted, particularly in the upper zones bilaterally. Stable  biapicalpleural thickening is noted.   Further action or early intervention required Reported by: &lt;DOCTOR&gt;</w:t>
      </w:r>
    </w:p>
    <w:p>
      <w:r>
        <w:t>Accession Number: ae5405a37934d8ea9271b98af394d6e552e6522ac187a8ebcddcc88e0db8ad77</w:t>
      </w:r>
    </w:p>
    <w:p>
      <w:r>
        <w:t>Updated Date Time: 05/10/2016 11:43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