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12423</w:t>
      </w:r>
    </w:p>
    <w:p>
      <w:r>
        <w:t>Visit Number: ad065aa575eef95098dfd81b8d54435def2799d07847cb2e1d1a70b16bb8e70b</w:t>
      </w:r>
    </w:p>
    <w:p>
      <w:r>
        <w:t>Masked_PatientID: 12412</w:t>
      </w:r>
    </w:p>
    <w:p>
      <w:r>
        <w:t>Order ID: 29b2cbdcda02ca09cc3740baa036dac3caac7464f4fe238200ff72df744146fa</w:t>
      </w:r>
    </w:p>
    <w:p>
      <w:r>
        <w:t>Order Name: Chest X-ray</w:t>
      </w:r>
    </w:p>
    <w:p>
      <w:r>
        <w:t>Result Item Code: CHE-NOV</w:t>
      </w:r>
    </w:p>
    <w:p>
      <w:r>
        <w:t>Performed Date Time: 21/5/2020 9:56</w:t>
      </w:r>
    </w:p>
    <w:p>
      <w:r>
        <w:t>Line Num: 1</w:t>
      </w:r>
    </w:p>
    <w:p>
      <w:r>
        <w:t>Text: HISTORY  follow up REPORT CT thorax of 15 October 2019 was reviewed. Previous chest radiograph of 4 September  2018 was reviewed.  There is no significant change in the patchy airspace density in both lungs, in keeping  with post inflammatory change and probably related to previous atypical mycobacterial  chest infection. There is mild focal airway dilatation in the left midzone, attributed  to traction bronchiectasis. There is increased density in the projected over the  left apex which is more, corresponding to a sub solid nodular density on the previous  chest CT. Heart size is top normal. Report Indicator: May need further action Finalised by: &lt;DOCTOR&gt;</w:t>
      </w:r>
    </w:p>
    <w:p>
      <w:r>
        <w:t>Accession Number: 8736f41744c01008a1b2d4b023d4696230924138364a50ddd56fa241a88b13ec</w:t>
      </w:r>
    </w:p>
    <w:p>
      <w:r>
        <w:t>Updated Date Time: 21/5/2020 10:17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