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12515</w:t>
      </w:r>
    </w:p>
    <w:p>
      <w:r>
        <w:t>Visit Number: 39b4c98a03ae50af4eb6deb827eded92b2a2697e4ea034679cbe48823fb75f6e</w:t>
      </w:r>
    </w:p>
    <w:p>
      <w:r>
        <w:t>Masked_PatientID: 12497</w:t>
      </w:r>
    </w:p>
    <w:p>
      <w:r>
        <w:t>Order ID: 31432094db3541e3f07885c22a465f833789b41f7e1c50210687b4f0f5bc1b77</w:t>
      </w:r>
    </w:p>
    <w:p>
      <w:r>
        <w:t>Order Name: Chest X-ray</w:t>
      </w:r>
    </w:p>
    <w:p>
      <w:r>
        <w:t>Result Item Code: CHE-NOV</w:t>
      </w:r>
    </w:p>
    <w:p>
      <w:r>
        <w:t>Performed Date Time: 03/8/2016 7:29</w:t>
      </w:r>
    </w:p>
    <w:p>
      <w:r>
        <w:t>Line Num: 1</w:t>
      </w:r>
    </w:p>
    <w:p>
      <w:r>
        <w:t>Text:       HISTORY Hydropneumothorax s/p chest drain insertion REPORT  Compared with a study dated 1 August 2016 The right PICC line is in situ with its tip projected in the right atrium. The partially  coiled tip of the intercostal drain tube is projected in the left basal area.  The previously noted patchy nonhomogeneous opacities in both lungs appear stable,  which may represent underlying infective process. There is stable left hydropneumothorax  and small right pleural effusion.    Further action or early intervention required Finalised by: &lt;DOCTOR&gt;</w:t>
      </w:r>
    </w:p>
    <w:p>
      <w:r>
        <w:t>Accession Number: aa5235dbd421227c993082cf0046237d2b15e3d6c183eb3e7b0d914e780c396a</w:t>
      </w:r>
    </w:p>
    <w:p>
      <w:r>
        <w:t>Updated Date Time: 03/8/2016 14:16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