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12592</w:t>
      </w:r>
    </w:p>
    <w:p>
      <w:r>
        <w:t>Visit Number: 64a822387d282f79d12315e4a7b7db2d73f47c213c0f5187429747b9f077e8d4</w:t>
      </w:r>
    </w:p>
    <w:p>
      <w:r>
        <w:t>Masked_PatientID: 12590</w:t>
      </w:r>
    </w:p>
    <w:p>
      <w:r>
        <w:t>Order ID: 3747e30850e1a4284dc4b730ed5a5679a6e18cbdf1a3a21c7c9b737f102f231e</w:t>
      </w:r>
    </w:p>
    <w:p>
      <w:r>
        <w:t>Order Name: Chest X-ray</w:t>
      </w:r>
    </w:p>
    <w:p>
      <w:r>
        <w:t>Result Item Code: CHE-NOV</w:t>
      </w:r>
    </w:p>
    <w:p>
      <w:r>
        <w:t>Performed Date Time: 23/7/2017 9:49</w:t>
      </w:r>
    </w:p>
    <w:p>
      <w:r>
        <w:t>Line Num: 1</w:t>
      </w:r>
    </w:p>
    <w:p>
      <w:r>
        <w:t>Text:       HISTORY pneumonia for interval assessment REPORT  Comparison dated 21/07/2017. Endotracheal tube is seen approximately 3.7 cm above the carina.  Nasogastric tube  and left internal jugular approach central venous catheter remainin unchanged position  from prior. The cardiac silhouette cannot be adequately assessed on this study.  Perihilar vascular  congestion with prominence of the interstitial markings is noted in keeping with  a component of pulmonary interstitial oedema.  However, there is interval improvement  in the areas of air space opacification in the left upper and mid lung zones, and  right lung base.  No sizable pleural effusion or pneumothorax is detected. Soft tissues and osseous structures remain unchanged from prior.   May need further action Finalised by: &lt;DOCTOR&gt;</w:t>
      </w:r>
    </w:p>
    <w:p>
      <w:r>
        <w:t>Accession Number: e18eca16db486bda6cce4811465c840208c3c0b9b0e6fb87a8edf792873b300e</w:t>
      </w:r>
    </w:p>
    <w:p>
      <w:r>
        <w:t>Updated Date Time: 24/7/2017 12:52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