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12623</w:t>
      </w:r>
    </w:p>
    <w:p>
      <w:r>
        <w:t>Visit Number: 82be3b53c8fcb39d290aca7a92fc5e91b3479fce1456c8cc609f2eb06e1aed26</w:t>
      </w:r>
    </w:p>
    <w:p>
      <w:r>
        <w:t>Masked_PatientID: 12619</w:t>
      </w:r>
    </w:p>
    <w:p>
      <w:r>
        <w:t>Order ID: 88a76447eebddc367f4125af15479b4af5beeb5dc67b2db9da585516e2d5c2e2</w:t>
      </w:r>
    </w:p>
    <w:p>
      <w:r>
        <w:t>Order Name: Chest X-ray, Erect</w:t>
      </w:r>
    </w:p>
    <w:p>
      <w:r>
        <w:t>Result Item Code: CHE-ER</w:t>
      </w:r>
    </w:p>
    <w:p>
      <w:r>
        <w:t>Performed Date Time: 06/3/2017 9:44</w:t>
      </w:r>
    </w:p>
    <w:p>
      <w:r>
        <w:t>Line Num: 1</w:t>
      </w:r>
    </w:p>
    <w:p>
      <w:r>
        <w:t>Text:       HISTORY Left shoulder subscapularis tear, LHB tear REPORT  Comparison dated 01/06/2016. The trachea is midline.  The cardiac silhouette is at the upper limits of normal  for size but stable from prior.  Postsurgical changes are again noted with midline  sternotomy wires and surgical clips projecting over the cardiomediastinal silhouette. No focal consolidation, sizable pleural effusion, or pneumothorax is demonstrated. Partially imaged right shoulder replacement is noted.  Soft tissues and osseous structures  appear otherwise unremarkable.      Known / Minor  Finalised by: &lt;DOCTOR&gt;</w:t>
      </w:r>
    </w:p>
    <w:p>
      <w:r>
        <w:t>Accession Number: 847ca877d6c6c74ace7fdaab98c0357950dbcb660067bd27a5fccefe7fa9da62</w:t>
      </w:r>
    </w:p>
    <w:p>
      <w:r>
        <w:t>Updated Date Time: 06/3/2017 10:53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