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12751</w:t>
      </w:r>
    </w:p>
    <w:p>
      <w:r>
        <w:t>Visit Number: 35b2988a90875f37e9f00af738b6af2dc36b29376bab79a7e5c6619c696c5d71</w:t>
      </w:r>
    </w:p>
    <w:p>
      <w:r>
        <w:t>Masked_PatientID: 12711</w:t>
      </w:r>
    </w:p>
    <w:p>
      <w:r>
        <w:t>Order ID: 5d41bfe05cdc1f91cc4047d722330d54cb09ef63a4a36127f1a784b32c50d0ba</w:t>
      </w:r>
    </w:p>
    <w:p>
      <w:r>
        <w:t>Order Name: Chest X-ray</w:t>
      </w:r>
    </w:p>
    <w:p>
      <w:r>
        <w:t>Result Item Code: CHE-NOV</w:t>
      </w:r>
    </w:p>
    <w:p>
      <w:r>
        <w:t>Performed Date Time: 01/10/2015 21:18</w:t>
      </w:r>
    </w:p>
    <w:p>
      <w:r>
        <w:t>Line Num: 1</w:t>
      </w:r>
    </w:p>
    <w:p>
      <w:r>
        <w:t>Text:       HISTORY post ngt insertion REPORT Comparison was made with the previous study of the same day at 9:15 am. Status post CABG. Tracheostomy tube noted in situ. Dual-lead pacemaker noted over the left chest. Right central venouscatheter noted with its tip projected over the region of the  right atrium. NG tube noted with its tip projected over the right upper abdomen. The heart size cannot be accurately assessed on this AP projection.  Increased opacities noted in right mid and lower zones. Infectious aetiology cannot  be excluded.  There is interval improvement of the pulmonary congestion. Bilateral small to moderate  pleural effusions are again seen.     May need further action Finalised by: &lt;DOCTOR&gt;</w:t>
      </w:r>
    </w:p>
    <w:p>
      <w:r>
        <w:t>Accession Number: fb8440bcb12e24e0aba9bc9b69f9624acdb5234b31dffa24eaf28d8b9f537b40</w:t>
      </w:r>
    </w:p>
    <w:p>
      <w:r>
        <w:t>Updated Date Time: 02/10/2015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