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12738</w:t>
      </w:r>
    </w:p>
    <w:p>
      <w:r>
        <w:t>Visit Number: 35b2988a90875f37e9f00af738b6af2dc36b29376bab79a7e5c6619c696c5d71</w:t>
      </w:r>
    </w:p>
    <w:p>
      <w:r>
        <w:t>Masked_PatientID: 12711</w:t>
      </w:r>
    </w:p>
    <w:p>
      <w:r>
        <w:t>Order ID: 27f6166c6090d0d9bf90bd9f698b8cd78594a2fdcbf87d62483cd483a4b4e3a6</w:t>
      </w:r>
    </w:p>
    <w:p>
      <w:r>
        <w:t>Order Name: Chest X-ray</w:t>
      </w:r>
    </w:p>
    <w:p>
      <w:r>
        <w:t>Result Item Code: CHE-NOV</w:t>
      </w:r>
    </w:p>
    <w:p>
      <w:r>
        <w:t>Performed Date Time: 01/9/2015 10:27</w:t>
      </w:r>
    </w:p>
    <w:p>
      <w:r>
        <w:t>Line Num: 1</w:t>
      </w:r>
    </w:p>
    <w:p>
      <w:r>
        <w:t>Text:       HISTORY s/p CABG. s/p laparotomy for ischaemic bowel. REPORT Note is made of prior chest radiograph of 31 August 2015. Status post CABG. A left-sided dual-chamber cardiac pacemaker is grossly stable in  position. Tracheostomy isagain noted in situ. Tip of the right central venous catheter  is projected over the SVC. Tip of the nasogastric tube is below the inferior limit  of this radiograph. Suboptimal inspiration, limiting assessment of heart size and lung bases. Heart size cannot be accurately assessed on this supine projection. There is interval worsening with diffuse airspace opacification over the left lung  and increased left pleural effusion. The right lung is fairly clear.   May need further action Finalised by: &lt;DOCTOR&gt;</w:t>
      </w:r>
    </w:p>
    <w:p>
      <w:r>
        <w:t>Accession Number: 4918622d730c66930962ce4ed6b20b8852ce0d31b4cde4f68c4317509d538d99</w:t>
      </w:r>
    </w:p>
    <w:p>
      <w:r>
        <w:t>Updated Date Time: 01/9/2015 17:01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