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12715</w:t>
      </w:r>
    </w:p>
    <w:p>
      <w:r>
        <w:t>Visit Number: 35b2988a90875f37e9f00af738b6af2dc36b29376bab79a7e5c6619c696c5d71</w:t>
      </w:r>
    </w:p>
    <w:p>
      <w:r>
        <w:t>Masked_PatientID: 12711</w:t>
      </w:r>
    </w:p>
    <w:p>
      <w:r>
        <w:t>Order ID: 45afb46c0bad29c9612b3b9eb2d2997f2e9305b05b3d9b804819a2cc299afb8f</w:t>
      </w:r>
    </w:p>
    <w:p>
      <w:r>
        <w:t>Order Name: Chest X-ray</w:t>
      </w:r>
    </w:p>
    <w:p>
      <w:r>
        <w:t>Result Item Code: CHE-NOV</w:t>
      </w:r>
    </w:p>
    <w:p>
      <w:r>
        <w:t>Performed Date Time: 02/8/2015 8:45</w:t>
      </w:r>
    </w:p>
    <w:p>
      <w:r>
        <w:t>Line Num: 1</w:t>
      </w:r>
    </w:p>
    <w:p>
      <w:r>
        <w:t>Text:       HISTORY post cabg REPORT Comparison was made with the previous study of 1 August 2015. Status post CABG. Dual-lead pacemaker noted in situ. Right central venous catheter noted with its tip projected over the region of SVC. The heart size cannot be accurately assessed on this AP projection. Aortic unfolding  noted. Patchy opacities in left mid and lower zones show no significant interval change.   Left small pleural effusion is present. Irregularity of the lateral head of the right clavicle is seen. Please correlate  clinically.   May need further action Finalised by: &lt;DOCTOR&gt;</w:t>
      </w:r>
    </w:p>
    <w:p>
      <w:r>
        <w:t>Accession Number: bc20d6289844f5b1705331542775d09b175a405777a12f00b76535cc44253250</w:t>
      </w:r>
    </w:p>
    <w:p>
      <w:r>
        <w:t>Updated Date Time: 03/8/2015 15:55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