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12717</w:t>
      </w:r>
    </w:p>
    <w:p>
      <w:r>
        <w:t>Visit Number: 35b2988a90875f37e9f00af738b6af2dc36b29376bab79a7e5c6619c696c5d71</w:t>
      </w:r>
    </w:p>
    <w:p>
      <w:r>
        <w:t>Masked_PatientID: 12711</w:t>
      </w:r>
    </w:p>
    <w:p>
      <w:r>
        <w:t>Order ID: f11f04d96988bd134a38bbcdbb7045f5bfaf0213823f2c1ab5522e2fe615bc8b</w:t>
      </w:r>
    </w:p>
    <w:p>
      <w:r>
        <w:t>Order Name: Chest X-ray</w:t>
      </w:r>
    </w:p>
    <w:p>
      <w:r>
        <w:t>Result Item Code: CHE-NOV</w:t>
      </w:r>
    </w:p>
    <w:p>
      <w:r>
        <w:t>Performed Date Time: 03/8/2015 8:45</w:t>
      </w:r>
    </w:p>
    <w:p>
      <w:r>
        <w:t>Line Num: 1</w:t>
      </w:r>
    </w:p>
    <w:p>
      <w:r>
        <w:t>Text:       HISTORY CABG REPORT Note is made of prior chest radiograph of 2 August 2015. Dual-lead AICD, nasogastric tube and right internal jugular line are stable in positions. Heart size cannot be accurately assessed on this supine projection. The small left pleural effusion appears similar to before. Left mid and lower zone  airspace changes are again seen. The right lung is clear. There is suggestion of erosion at the right clavicle lateral end, grossly similar  to before.  Prominent gas-filled bowel loops are seen in the upper abdomen.   May need further action Reported by: &lt;DOCTOR&gt;</w:t>
      </w:r>
    </w:p>
    <w:p>
      <w:r>
        <w:t>Accession Number: 1556d9d2d6b4711904cf71b70cd5268da8f538f1193d9de4ed69b15a217cc9b6</w:t>
      </w:r>
    </w:p>
    <w:p>
      <w:r>
        <w:t>Updated Date Time: 04/8/2015 14:44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