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12754</w:t>
      </w:r>
    </w:p>
    <w:p>
      <w:r>
        <w:t>Visit Number: 35b2988a90875f37e9f00af738b6af2dc36b29376bab79a7e5c6619c696c5d71</w:t>
      </w:r>
    </w:p>
    <w:p>
      <w:r>
        <w:t>Masked_PatientID: 12711</w:t>
      </w:r>
    </w:p>
    <w:p>
      <w:r>
        <w:t>Order ID: 7dd93585f5dac557e416a4c742baa4e7e3956406d6c62e00f7da6f92d78097b8</w:t>
      </w:r>
    </w:p>
    <w:p>
      <w:r>
        <w:t>Order Name: Chest X-ray</w:t>
      </w:r>
    </w:p>
    <w:p>
      <w:r>
        <w:t>Result Item Code: CHE-NOV</w:t>
      </w:r>
    </w:p>
    <w:p>
      <w:r>
        <w:t>Performed Date Time: 05/10/2015 20:59</w:t>
      </w:r>
    </w:p>
    <w:p>
      <w:r>
        <w:t>Line Num: 1</w:t>
      </w:r>
    </w:p>
    <w:p>
      <w:r>
        <w:t>Text:       HISTORY s/p cabg REPORT  Comparison made with previous radiograph of 02/10/2015. The tracheostomy tube, right-sided subclavian venous catheter and permanent pacemaker  lead positions are grossly unchanged.  Nasogastric tube is noted with the lower end  below the left diaphragm although the tip is not included. There are persistent perihilar air space opacifications with interval worsening in  the right perihilar region.  The left pleural effusion however shows mild interval  improvement.  No other significant interval change noted.   May need further action Finalised by: &lt;DOCTOR&gt;</w:t>
      </w:r>
    </w:p>
    <w:p>
      <w:r>
        <w:t>Accession Number: 2992733f42f83f6ce16abde807f0575f4da6aa2225d767a4216b5f4bf966541e</w:t>
      </w:r>
    </w:p>
    <w:p>
      <w:r>
        <w:t>Updated Date Time: 06/10/2015 9:17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