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12725</w:t>
      </w:r>
    </w:p>
    <w:p>
      <w:r>
        <w:t>Visit Number: 35b2988a90875f37e9f00af738b6af2dc36b29376bab79a7e5c6619c696c5d71</w:t>
      </w:r>
    </w:p>
    <w:p>
      <w:r>
        <w:t>Masked_PatientID: 12711</w:t>
      </w:r>
    </w:p>
    <w:p>
      <w:r>
        <w:t>Order ID: 8bf5cbbe8ff3e40316eb93f33dba49406a422841449ef4a321b16e270340d24d</w:t>
      </w:r>
    </w:p>
    <w:p>
      <w:r>
        <w:t>Order Name: Chest X-ray</w:t>
      </w:r>
    </w:p>
    <w:p>
      <w:r>
        <w:t>Result Item Code: CHE-NOV</w:t>
      </w:r>
    </w:p>
    <w:p>
      <w:r>
        <w:t>Performed Date Time: 10/8/2015 9:00</w:t>
      </w:r>
    </w:p>
    <w:p>
      <w:r>
        <w:t>Line Num: 1</w:t>
      </w:r>
    </w:p>
    <w:p>
      <w:r>
        <w:t>Text:       HISTORY s/p CABG. s/p bowel resection for intestinal ischaemia. REPORT Comparison is made with previous radiograph dated 09/08/2015. The heart size cannot be assessed in this supine projection. Dual-lead cardiac pace-maker,  and the left central catheter are unchanged in position.  There is suggestion of a kink at the distal end of the NGT, with probable disruption  of the radio-opaque lining of the NGT. Clinical correlation is strongly recommended. Endotracheal tube is 16 mm away from the carina, and may require readjustment. Suboptimal inspiratory effort makes it difficult to assess the lung bases. The left  lower zone and retro-cardiac opacity is unchanged since previous radiograph.   May need further action Reported by: &lt;DOCTOR&gt;</w:t>
      </w:r>
    </w:p>
    <w:p>
      <w:r>
        <w:t>Accession Number: 7ec2edada02b045dfe78aa7e1bfa2f86d93bfcb9357034f957df53242ff9246c</w:t>
      </w:r>
    </w:p>
    <w:p>
      <w:r>
        <w:t>Updated Date Time: 11/8/2015 14:40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